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8963"/>
      </w:tblGrid>
      <w:tr w:rsidR="00372D4C" w:rsidRPr="007210BE" w14:paraId="672A6659" w14:textId="77777777" w:rsidTr="00372D4C">
        <w:tc>
          <w:tcPr>
            <w:tcW w:w="9179" w:type="dxa"/>
            <w:tcBorders>
              <w:top w:val="nil"/>
              <w:left w:val="nil"/>
              <w:bottom w:val="nil"/>
              <w:right w:val="nil"/>
            </w:tcBorders>
          </w:tcPr>
          <w:p w14:paraId="0A37501D" w14:textId="77777777" w:rsidR="00372D4C" w:rsidRPr="007210BE" w:rsidRDefault="00372D4C" w:rsidP="00372D4C">
            <w:pPr>
              <w:tabs>
                <w:tab w:val="left" w:pos="2126"/>
              </w:tabs>
              <w:jc w:val="center"/>
              <w:rPr>
                <w:b/>
              </w:rPr>
            </w:pPr>
            <w:bookmarkStart w:id="0" w:name="_Hlk99460869"/>
            <w:bookmarkStart w:id="1" w:name="_GoBack"/>
            <w:bookmarkEnd w:id="1"/>
            <w:r w:rsidRPr="007210BE">
              <w:rPr>
                <w:rFonts w:cs="Arial"/>
                <w:noProof/>
                <w:sz w:val="32"/>
                <w:szCs w:val="32"/>
                <w:lang w:eastAsia="en-GB"/>
              </w:rPr>
              <w:drawing>
                <wp:inline distT="0" distB="0" distL="0" distR="0" wp14:anchorId="209FEF4B" wp14:editId="07777777">
                  <wp:extent cx="2160270" cy="841375"/>
                  <wp:effectExtent l="0" t="0" r="0" b="0"/>
                  <wp:docPr id="3" name="Picture 3" descr="dh&amp;scp-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p;scp-logo-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841375"/>
                          </a:xfrm>
                          <a:prstGeom prst="rect">
                            <a:avLst/>
                          </a:prstGeom>
                          <a:noFill/>
                          <a:ln>
                            <a:noFill/>
                          </a:ln>
                        </pic:spPr>
                      </pic:pic>
                    </a:graphicData>
                  </a:graphic>
                </wp:inline>
              </w:drawing>
            </w:r>
          </w:p>
        </w:tc>
      </w:tr>
      <w:bookmarkEnd w:id="0"/>
    </w:tbl>
    <w:p w14:paraId="5DAB6C7B" w14:textId="77777777" w:rsidR="002729D0" w:rsidRPr="007210BE" w:rsidRDefault="002729D0">
      <w:pPr>
        <w:tabs>
          <w:tab w:val="left" w:pos="2126"/>
        </w:tabs>
        <w:ind w:left="2126" w:hanging="2126"/>
        <w:jc w:val="both"/>
        <w:rPr>
          <w:b/>
        </w:rPr>
      </w:pPr>
    </w:p>
    <w:p w14:paraId="02EB378F" w14:textId="77777777" w:rsidR="00372D4C" w:rsidRPr="007210BE" w:rsidRDefault="00372D4C" w:rsidP="005429D1">
      <w:pPr>
        <w:tabs>
          <w:tab w:val="left" w:pos="2126"/>
        </w:tabs>
        <w:jc w:val="both"/>
        <w:rPr>
          <w:b/>
        </w:rPr>
      </w:pPr>
    </w:p>
    <w:p w14:paraId="12B9AB9A" w14:textId="616926A6" w:rsidR="00125CEB" w:rsidRPr="007210BE" w:rsidRDefault="00125CEB" w:rsidP="00A2280D">
      <w:pPr>
        <w:tabs>
          <w:tab w:val="left" w:pos="2126"/>
        </w:tabs>
        <w:ind w:left="1701" w:hanging="1701"/>
        <w:jc w:val="both"/>
        <w:rPr>
          <w:b/>
          <w:bCs/>
        </w:rPr>
      </w:pPr>
      <w:r w:rsidRPr="61F799B9">
        <w:rPr>
          <w:b/>
          <w:bCs/>
        </w:rPr>
        <w:t>REPORTTO:</w:t>
      </w:r>
      <w:r w:rsidR="00A2280D">
        <w:rPr>
          <w:b/>
          <w:bCs/>
        </w:rPr>
        <w:t xml:space="preserve">  </w:t>
      </w:r>
      <w:r w:rsidR="00E8276C" w:rsidRPr="61F799B9">
        <w:rPr>
          <w:b/>
          <w:bCs/>
        </w:rPr>
        <w:t xml:space="preserve">HEALTH AND SOCIAL CARE INTEGRATION </w:t>
      </w:r>
      <w:r w:rsidR="00372D4C" w:rsidRPr="61F799B9">
        <w:rPr>
          <w:b/>
          <w:bCs/>
        </w:rPr>
        <w:t>JOINT</w:t>
      </w:r>
      <w:r w:rsidR="00E8276C" w:rsidRPr="61F799B9">
        <w:rPr>
          <w:b/>
          <w:bCs/>
        </w:rPr>
        <w:t xml:space="preserve"> BOARD </w:t>
      </w:r>
      <w:r w:rsidR="00AE318F" w:rsidRPr="61F799B9">
        <w:rPr>
          <w:b/>
          <w:bCs/>
        </w:rPr>
        <w:t>–</w:t>
      </w:r>
      <w:r w:rsidR="00E8276C" w:rsidRPr="61F799B9">
        <w:rPr>
          <w:b/>
          <w:bCs/>
        </w:rPr>
        <w:t xml:space="preserve"> </w:t>
      </w:r>
      <w:r w:rsidR="00A2280D">
        <w:rPr>
          <w:b/>
          <w:bCs/>
        </w:rPr>
        <w:t xml:space="preserve">  </w:t>
      </w:r>
      <w:r w:rsidR="00A7595E" w:rsidRPr="61F799B9">
        <w:rPr>
          <w:b/>
          <w:bCs/>
        </w:rPr>
        <w:t>WEDNESDAY24</w:t>
      </w:r>
      <w:r w:rsidR="00A7595E" w:rsidRPr="61F799B9">
        <w:rPr>
          <w:b/>
          <w:bCs/>
          <w:vertAlign w:val="superscript"/>
        </w:rPr>
        <w:t>TH</w:t>
      </w:r>
      <w:r w:rsidR="00A7595E" w:rsidRPr="61F799B9">
        <w:rPr>
          <w:b/>
          <w:bCs/>
        </w:rPr>
        <w:t xml:space="preserve">AUGUST </w:t>
      </w:r>
      <w:r w:rsidR="002508A4" w:rsidRPr="61F799B9">
        <w:rPr>
          <w:b/>
          <w:bCs/>
        </w:rPr>
        <w:t>2022</w:t>
      </w:r>
    </w:p>
    <w:p w14:paraId="6A05A809" w14:textId="77777777" w:rsidR="00125CEB" w:rsidRPr="007210BE" w:rsidRDefault="00125CEB">
      <w:pPr>
        <w:tabs>
          <w:tab w:val="left" w:pos="2126"/>
        </w:tabs>
        <w:ind w:left="2126" w:hanging="2126"/>
        <w:jc w:val="both"/>
      </w:pPr>
    </w:p>
    <w:p w14:paraId="04F4D736" w14:textId="77777777" w:rsidR="00125CEB" w:rsidRPr="007210BE" w:rsidRDefault="00125CEB" w:rsidP="00A2280D">
      <w:pPr>
        <w:tabs>
          <w:tab w:val="left" w:pos="1701"/>
        </w:tabs>
        <w:ind w:left="2126" w:hanging="2126"/>
        <w:jc w:val="both"/>
        <w:rPr>
          <w:b/>
        </w:rPr>
      </w:pPr>
      <w:r w:rsidRPr="007210BE">
        <w:rPr>
          <w:b/>
        </w:rPr>
        <w:t>REPORT ON:</w:t>
      </w:r>
      <w:r w:rsidRPr="007210BE">
        <w:rPr>
          <w:b/>
        </w:rPr>
        <w:tab/>
      </w:r>
      <w:r w:rsidR="00A7595E">
        <w:rPr>
          <w:b/>
        </w:rPr>
        <w:t xml:space="preserve">COMMUNITY WELLBEING CENTRE </w:t>
      </w:r>
      <w:r w:rsidR="009736BF" w:rsidRPr="007210BE">
        <w:rPr>
          <w:b/>
        </w:rPr>
        <w:t>UPDATE</w:t>
      </w:r>
    </w:p>
    <w:p w14:paraId="5A39BBE3" w14:textId="77777777" w:rsidR="00125CEB" w:rsidRPr="007210BE" w:rsidRDefault="00125CEB">
      <w:pPr>
        <w:tabs>
          <w:tab w:val="left" w:pos="2126"/>
        </w:tabs>
        <w:ind w:left="2126" w:hanging="2126"/>
        <w:jc w:val="both"/>
      </w:pPr>
    </w:p>
    <w:p w14:paraId="7AB41C7A" w14:textId="77777777" w:rsidR="00125CEB" w:rsidRPr="007210BE" w:rsidRDefault="00125CEB" w:rsidP="00A2280D">
      <w:pPr>
        <w:tabs>
          <w:tab w:val="left" w:pos="1701"/>
        </w:tabs>
        <w:ind w:left="2126" w:hanging="2126"/>
        <w:jc w:val="both"/>
        <w:rPr>
          <w:b/>
        </w:rPr>
      </w:pPr>
      <w:r w:rsidRPr="007210BE">
        <w:rPr>
          <w:b/>
        </w:rPr>
        <w:t>REPORT BY:</w:t>
      </w:r>
      <w:r w:rsidRPr="007210BE">
        <w:rPr>
          <w:b/>
        </w:rPr>
        <w:tab/>
      </w:r>
      <w:r w:rsidR="000657F8" w:rsidRPr="007210BE">
        <w:rPr>
          <w:b/>
        </w:rPr>
        <w:t>CHIEF OFFICER</w:t>
      </w:r>
    </w:p>
    <w:p w14:paraId="41C8F396" w14:textId="77777777" w:rsidR="00372D4C" w:rsidRPr="007210BE" w:rsidRDefault="00372D4C">
      <w:pPr>
        <w:tabs>
          <w:tab w:val="left" w:pos="2126"/>
        </w:tabs>
        <w:ind w:left="2126" w:hanging="2126"/>
        <w:jc w:val="both"/>
        <w:rPr>
          <w:b/>
        </w:rPr>
      </w:pPr>
    </w:p>
    <w:p w14:paraId="31EDDBB7" w14:textId="77777777" w:rsidR="00372D4C" w:rsidRPr="007210BE" w:rsidRDefault="00372D4C" w:rsidP="00A2280D">
      <w:pPr>
        <w:tabs>
          <w:tab w:val="left" w:pos="1701"/>
        </w:tabs>
        <w:ind w:left="2126" w:hanging="2126"/>
        <w:jc w:val="both"/>
        <w:rPr>
          <w:b/>
        </w:rPr>
      </w:pPr>
      <w:r w:rsidRPr="007210BE">
        <w:rPr>
          <w:b/>
        </w:rPr>
        <w:t>REPORT NO:</w:t>
      </w:r>
      <w:r w:rsidRPr="007210BE">
        <w:rPr>
          <w:b/>
        </w:rPr>
        <w:tab/>
      </w:r>
      <w:r w:rsidR="000657F8" w:rsidRPr="007210BE">
        <w:rPr>
          <w:b/>
        </w:rPr>
        <w:t>DIJB</w:t>
      </w:r>
      <w:r w:rsidR="00C0001B">
        <w:rPr>
          <w:b/>
        </w:rPr>
        <w:t>61-2022</w:t>
      </w:r>
    </w:p>
    <w:p w14:paraId="72A3D3EC" w14:textId="77777777" w:rsidR="00125CEB" w:rsidRPr="007210BE" w:rsidRDefault="00125CEB">
      <w:pPr>
        <w:tabs>
          <w:tab w:val="left" w:pos="2126"/>
        </w:tabs>
        <w:ind w:left="2126" w:hanging="2126"/>
        <w:jc w:val="both"/>
      </w:pPr>
    </w:p>
    <w:p w14:paraId="0D0B940D" w14:textId="77777777" w:rsidR="00125CEB" w:rsidRPr="007210BE" w:rsidRDefault="00125CEB" w:rsidP="00CA50AA">
      <w:pPr>
        <w:jc w:val="both"/>
        <w:rPr>
          <w:b/>
          <w:bCs/>
        </w:rPr>
      </w:pPr>
    </w:p>
    <w:p w14:paraId="4A28794F" w14:textId="77777777" w:rsidR="00125CEB" w:rsidRPr="008D3E30" w:rsidRDefault="00125CEB" w:rsidP="008D3E30">
      <w:pPr>
        <w:pStyle w:val="ListParagraph"/>
        <w:numPr>
          <w:ilvl w:val="0"/>
          <w:numId w:val="39"/>
        </w:numPr>
        <w:jc w:val="both"/>
        <w:rPr>
          <w:b/>
          <w:bCs/>
        </w:rPr>
      </w:pPr>
      <w:r w:rsidRPr="008D3E30">
        <w:rPr>
          <w:b/>
          <w:bCs/>
        </w:rPr>
        <w:t>PURPOSE OF REPORT</w:t>
      </w:r>
    </w:p>
    <w:p w14:paraId="0E27B00A" w14:textId="77777777" w:rsidR="008D3E30" w:rsidRDefault="008D3E30" w:rsidP="008D3E30">
      <w:pPr>
        <w:pStyle w:val="ListParagraph"/>
        <w:jc w:val="both"/>
        <w:rPr>
          <w:b/>
          <w:bCs/>
        </w:rPr>
      </w:pPr>
    </w:p>
    <w:p w14:paraId="687C8141" w14:textId="77777777" w:rsidR="008D3E30" w:rsidRPr="008D3E30" w:rsidRDefault="008D3E30" w:rsidP="008D3E30">
      <w:pPr>
        <w:pStyle w:val="ListParagraph"/>
        <w:jc w:val="both"/>
        <w:rPr>
          <w:bCs/>
        </w:rPr>
      </w:pPr>
      <w:r>
        <w:rPr>
          <w:bCs/>
        </w:rPr>
        <w:t>To brief the Integration Joint Board about the</w:t>
      </w:r>
      <w:r w:rsidR="00B51804">
        <w:rPr>
          <w:bCs/>
        </w:rPr>
        <w:t xml:space="preserve"> progress being made to introduce</w:t>
      </w:r>
      <w:r w:rsidR="00E829C3">
        <w:rPr>
          <w:bCs/>
        </w:rPr>
        <w:t xml:space="preserve"> a </w:t>
      </w:r>
      <w:r w:rsidR="00A7595E">
        <w:rPr>
          <w:bCs/>
        </w:rPr>
        <w:t>Community Wellbeing Centre</w:t>
      </w:r>
      <w:r w:rsidR="00B51804">
        <w:rPr>
          <w:bCs/>
        </w:rPr>
        <w:t xml:space="preserve"> as a core element of immediate support in the city for people experiencing distress.</w:t>
      </w:r>
      <w:r w:rsidR="00A7595E">
        <w:rPr>
          <w:bCs/>
        </w:rPr>
        <w:t xml:space="preserve"> </w:t>
      </w:r>
    </w:p>
    <w:p w14:paraId="60061E4C" w14:textId="77777777" w:rsidR="005429D1" w:rsidRPr="007210BE" w:rsidRDefault="005429D1" w:rsidP="005429D1">
      <w:pPr>
        <w:jc w:val="both"/>
      </w:pPr>
    </w:p>
    <w:p w14:paraId="1BDA6499" w14:textId="6BB7BEE4" w:rsidR="61F799B9" w:rsidRDefault="61F799B9" w:rsidP="61F799B9">
      <w:pPr>
        <w:ind w:left="720" w:hanging="720"/>
        <w:jc w:val="both"/>
        <w:rPr>
          <w:b/>
          <w:bCs/>
        </w:rPr>
      </w:pPr>
    </w:p>
    <w:p w14:paraId="4E9F782A" w14:textId="77777777" w:rsidR="00125CEB" w:rsidRPr="007210BE" w:rsidRDefault="00125CEB" w:rsidP="00CA50AA">
      <w:pPr>
        <w:ind w:left="720" w:hanging="720"/>
        <w:jc w:val="both"/>
        <w:rPr>
          <w:b/>
          <w:bCs/>
        </w:rPr>
      </w:pPr>
      <w:r w:rsidRPr="007210BE">
        <w:rPr>
          <w:b/>
          <w:bCs/>
        </w:rPr>
        <w:t>2.0</w:t>
      </w:r>
      <w:r w:rsidRPr="007210BE">
        <w:rPr>
          <w:b/>
          <w:bCs/>
        </w:rPr>
        <w:tab/>
        <w:t>RECOMMENDATIONS</w:t>
      </w:r>
    </w:p>
    <w:p w14:paraId="44EAFD9C" w14:textId="77777777" w:rsidR="00125CEB" w:rsidRPr="007210BE" w:rsidRDefault="00125CEB" w:rsidP="00CA50AA">
      <w:pPr>
        <w:jc w:val="both"/>
      </w:pPr>
    </w:p>
    <w:p w14:paraId="4C9A51D6" w14:textId="77777777" w:rsidR="005429D1" w:rsidRPr="007210BE" w:rsidRDefault="005429D1" w:rsidP="005429D1">
      <w:pPr>
        <w:ind w:firstLine="720"/>
        <w:jc w:val="both"/>
      </w:pPr>
      <w:r w:rsidRPr="007210BE">
        <w:t>It is recommended that the Integra</w:t>
      </w:r>
      <w:r w:rsidR="00E419AC" w:rsidRPr="007210BE">
        <w:t>tion Joint Board (IJB):</w:t>
      </w:r>
    </w:p>
    <w:p w14:paraId="4B94D5A5" w14:textId="77777777" w:rsidR="000657F8" w:rsidRPr="007210BE" w:rsidRDefault="000657F8" w:rsidP="000657F8">
      <w:pPr>
        <w:jc w:val="both"/>
      </w:pPr>
    </w:p>
    <w:p w14:paraId="5A659E4E" w14:textId="77777777" w:rsidR="000657F8" w:rsidRPr="007210BE" w:rsidRDefault="000657F8" w:rsidP="000657F8">
      <w:pPr>
        <w:jc w:val="both"/>
      </w:pPr>
      <w:r w:rsidRPr="007210BE">
        <w:t>2.1</w:t>
      </w:r>
      <w:r w:rsidRPr="007210BE">
        <w:tab/>
      </w:r>
      <w:r w:rsidR="008D3E30">
        <w:t xml:space="preserve">Note the </w:t>
      </w:r>
      <w:r w:rsidR="00AE3D9D">
        <w:t>progress that has been made as outlined within section 4 of this report.</w:t>
      </w:r>
    </w:p>
    <w:p w14:paraId="3DEEC669" w14:textId="77777777" w:rsidR="00534C5E" w:rsidRPr="007210BE" w:rsidRDefault="00534C5E" w:rsidP="000657F8">
      <w:pPr>
        <w:jc w:val="both"/>
      </w:pPr>
    </w:p>
    <w:p w14:paraId="2A6A2188" w14:textId="77777777" w:rsidR="008D3E30" w:rsidRDefault="00534C5E" w:rsidP="00A7595E">
      <w:pPr>
        <w:ind w:left="720" w:hanging="720"/>
        <w:jc w:val="both"/>
      </w:pPr>
      <w:r w:rsidRPr="007210BE">
        <w:t>2.2</w:t>
      </w:r>
      <w:r w:rsidRPr="007210BE">
        <w:tab/>
      </w:r>
      <w:r w:rsidR="00AE3D9D">
        <w:t>Note the revised timescale for implementation as outlined within section 4.9 of this report.</w:t>
      </w:r>
    </w:p>
    <w:p w14:paraId="3656B9AB" w14:textId="77777777" w:rsidR="008D3E30" w:rsidRPr="007210BE" w:rsidRDefault="008D3E30" w:rsidP="00DE15D3">
      <w:pPr>
        <w:ind w:left="720" w:hanging="720"/>
        <w:jc w:val="both"/>
      </w:pPr>
    </w:p>
    <w:p w14:paraId="45FB0818" w14:textId="77777777" w:rsidR="000657F8" w:rsidRPr="007210BE" w:rsidRDefault="000657F8" w:rsidP="00CA50AA">
      <w:pPr>
        <w:jc w:val="both"/>
      </w:pPr>
    </w:p>
    <w:p w14:paraId="7C2E7087" w14:textId="77777777" w:rsidR="00125CEB" w:rsidRPr="007210BE" w:rsidRDefault="00125CEB" w:rsidP="00CA50AA">
      <w:pPr>
        <w:ind w:left="720" w:hanging="720"/>
        <w:jc w:val="both"/>
        <w:rPr>
          <w:b/>
          <w:bCs/>
        </w:rPr>
      </w:pPr>
      <w:r w:rsidRPr="007210BE">
        <w:rPr>
          <w:b/>
          <w:bCs/>
        </w:rPr>
        <w:t>3.0</w:t>
      </w:r>
      <w:r w:rsidRPr="007210BE">
        <w:rPr>
          <w:b/>
          <w:bCs/>
        </w:rPr>
        <w:tab/>
        <w:t>FINANCIAL IMPLICATIONS</w:t>
      </w:r>
    </w:p>
    <w:p w14:paraId="049F31CB" w14:textId="77777777" w:rsidR="000657F8" w:rsidRDefault="000657F8" w:rsidP="00CA50AA">
      <w:pPr>
        <w:ind w:left="720" w:hanging="720"/>
        <w:jc w:val="both"/>
        <w:rPr>
          <w:b/>
          <w:bCs/>
        </w:rPr>
      </w:pPr>
    </w:p>
    <w:p w14:paraId="06DDEC60" w14:textId="77777777" w:rsidR="000657F8" w:rsidRDefault="00DE15D3" w:rsidP="00DE15D3">
      <w:pPr>
        <w:ind w:left="720" w:hanging="720"/>
        <w:jc w:val="both"/>
        <w:rPr>
          <w:bCs/>
        </w:rPr>
      </w:pPr>
      <w:r w:rsidRPr="00DE15D3">
        <w:rPr>
          <w:bCs/>
        </w:rPr>
        <w:t>3.1</w:t>
      </w:r>
      <w:r>
        <w:rPr>
          <w:bCs/>
        </w:rPr>
        <w:tab/>
      </w:r>
      <w:r w:rsidR="00C93A41">
        <w:rPr>
          <w:bCs/>
        </w:rPr>
        <w:t xml:space="preserve">The capital costs of developing the building are being incurred by Hillcrest with provision made in Dundee City Council’s financial plan for </w:t>
      </w:r>
      <w:r w:rsidR="008E3371">
        <w:rPr>
          <w:bCs/>
        </w:rPr>
        <w:t>a financial contribution to the overall capital costs. Funding for furnishings and equipment will be met from additional grant funding awarded to Dundee Health and Social Care Partnership.</w:t>
      </w:r>
    </w:p>
    <w:p w14:paraId="53128261" w14:textId="77777777" w:rsidR="008E3371" w:rsidRDefault="008E3371" w:rsidP="00DE15D3">
      <w:pPr>
        <w:ind w:left="720" w:hanging="720"/>
        <w:jc w:val="both"/>
      </w:pPr>
    </w:p>
    <w:p w14:paraId="265213F0" w14:textId="4939646F" w:rsidR="008E3371" w:rsidRPr="00C93A41" w:rsidRDefault="008E3371" w:rsidP="00DE15D3">
      <w:pPr>
        <w:ind w:left="720" w:hanging="720"/>
        <w:jc w:val="both"/>
      </w:pPr>
      <w:r>
        <w:t>3.2</w:t>
      </w:r>
      <w:r>
        <w:tab/>
        <w:t xml:space="preserve">The cost of the contracted care and support service associated </w:t>
      </w:r>
      <w:r w:rsidR="008F5644">
        <w:t>with the centre as outlined in section 4.5 of this report will be met from provision made within the Integration Joint Board’s Revenue Budget 2022/23 for new developments.</w:t>
      </w:r>
    </w:p>
    <w:p w14:paraId="62486C05" w14:textId="77777777" w:rsidR="00A7595E" w:rsidRDefault="00A7595E" w:rsidP="00DE15D3">
      <w:pPr>
        <w:ind w:left="720" w:hanging="720"/>
        <w:jc w:val="both"/>
        <w:rPr>
          <w:bCs/>
        </w:rPr>
      </w:pPr>
    </w:p>
    <w:p w14:paraId="4101652C" w14:textId="77777777" w:rsidR="00A7595E" w:rsidRDefault="00A7595E" w:rsidP="00DE15D3">
      <w:pPr>
        <w:ind w:left="720" w:hanging="720"/>
        <w:jc w:val="both"/>
        <w:rPr>
          <w:bCs/>
        </w:rPr>
      </w:pPr>
    </w:p>
    <w:p w14:paraId="463858A6" w14:textId="6DA7DF91" w:rsidR="00B75833" w:rsidRDefault="006E6CCD" w:rsidP="61F799B9">
      <w:pPr>
        <w:ind w:left="720" w:hanging="720"/>
        <w:jc w:val="both"/>
        <w:rPr>
          <w:b/>
          <w:bCs/>
        </w:rPr>
      </w:pPr>
      <w:r w:rsidRPr="61F799B9">
        <w:rPr>
          <w:b/>
          <w:bCs/>
        </w:rPr>
        <w:t>4</w:t>
      </w:r>
      <w:r w:rsidR="00B75833" w:rsidRPr="61F799B9">
        <w:rPr>
          <w:b/>
          <w:bCs/>
        </w:rPr>
        <w:t>.0</w:t>
      </w:r>
      <w:r>
        <w:tab/>
      </w:r>
      <w:r w:rsidR="00B75833" w:rsidRPr="61F799B9">
        <w:rPr>
          <w:b/>
          <w:bCs/>
        </w:rPr>
        <w:t>MAIN TEXT</w:t>
      </w:r>
    </w:p>
    <w:p w14:paraId="1299C43A" w14:textId="77777777" w:rsidR="0081387B" w:rsidRDefault="0081387B" w:rsidP="00CA50AA">
      <w:pPr>
        <w:jc w:val="both"/>
        <w:rPr>
          <w:b/>
          <w:bCs/>
        </w:rPr>
      </w:pPr>
    </w:p>
    <w:p w14:paraId="45A23F6A" w14:textId="77777777" w:rsidR="0081387B" w:rsidRPr="0081387B" w:rsidRDefault="0081387B" w:rsidP="00440585">
      <w:pPr>
        <w:ind w:left="720" w:hanging="720"/>
        <w:jc w:val="both"/>
        <w:rPr>
          <w:bCs/>
          <w:color w:val="FF0000"/>
        </w:rPr>
      </w:pPr>
      <w:r w:rsidRPr="0081387B">
        <w:rPr>
          <w:bCs/>
        </w:rPr>
        <w:t>4.1</w:t>
      </w:r>
      <w:r w:rsidRPr="0081387B">
        <w:rPr>
          <w:bCs/>
        </w:rPr>
        <w:tab/>
      </w:r>
      <w:r w:rsidR="00F2301E">
        <w:rPr>
          <w:bCs/>
        </w:rPr>
        <w:t>The most recent update about the Community Wellbeing Centre was submitted to the IJB in April 2022</w:t>
      </w:r>
      <w:r w:rsidR="005276FC">
        <w:rPr>
          <w:bCs/>
        </w:rPr>
        <w:t>.  This report provides an update as to progress which continues to be made.</w:t>
      </w:r>
      <w:r w:rsidRPr="0081387B">
        <w:rPr>
          <w:bCs/>
        </w:rPr>
        <w:t xml:space="preserve"> </w:t>
      </w:r>
    </w:p>
    <w:p w14:paraId="4DDBEF00" w14:textId="77777777" w:rsidR="0081387B" w:rsidRPr="0081387B" w:rsidRDefault="0081387B" w:rsidP="00CA50AA">
      <w:pPr>
        <w:jc w:val="both"/>
        <w:rPr>
          <w:bCs/>
          <w:color w:val="FF0000"/>
        </w:rPr>
      </w:pPr>
    </w:p>
    <w:p w14:paraId="6F5F76B4" w14:textId="6048C8F9" w:rsidR="0081387B" w:rsidRDefault="0081387B" w:rsidP="61F799B9">
      <w:pPr>
        <w:jc w:val="both"/>
      </w:pPr>
      <w:r>
        <w:t>4.2</w:t>
      </w:r>
      <w:r>
        <w:tab/>
      </w:r>
      <w:r w:rsidR="61F799B9">
        <w:t xml:space="preserve">A stakeholder group to drive the development forward has been in place since autumn 2021.  </w:t>
      </w:r>
      <w:r>
        <w:tab/>
      </w:r>
      <w:r w:rsidR="61F799B9">
        <w:t xml:space="preserve">The group have held several development sessions and members have also joined specific </w:t>
      </w:r>
      <w:r>
        <w:tab/>
      </w:r>
      <w:r w:rsidR="61F799B9">
        <w:t>workstreams.</w:t>
      </w:r>
    </w:p>
    <w:p w14:paraId="3461D779" w14:textId="77777777" w:rsidR="0081387B" w:rsidRDefault="0081387B" w:rsidP="00CA50AA">
      <w:pPr>
        <w:jc w:val="both"/>
        <w:rPr>
          <w:bCs/>
          <w:color w:val="FF0000"/>
        </w:rPr>
      </w:pPr>
    </w:p>
    <w:p w14:paraId="08B8AB1B" w14:textId="3E804F44" w:rsidR="0081387B" w:rsidRDefault="0081387B" w:rsidP="61F799B9">
      <w:pPr>
        <w:jc w:val="both"/>
        <w:rPr>
          <w:color w:val="FF0000"/>
        </w:rPr>
      </w:pPr>
      <w:r>
        <w:t>4.3</w:t>
      </w:r>
      <w:r>
        <w:tab/>
      </w:r>
      <w:r w:rsidR="00334C17">
        <w:t>Four</w:t>
      </w:r>
      <w:r>
        <w:t xml:space="preserve"> workstreams </w:t>
      </w:r>
      <w:r w:rsidR="003968C1">
        <w:t>were agreed by the stakeholder group</w:t>
      </w:r>
      <w:r w:rsidR="00E700DE">
        <w:t xml:space="preserve"> as follows; Building/ Aesthetics, </w:t>
      </w:r>
      <w:r>
        <w:tab/>
      </w:r>
      <w:r w:rsidR="00E700DE">
        <w:t>Procurement</w:t>
      </w:r>
      <w:r w:rsidR="00436DF8">
        <w:t>,</w:t>
      </w:r>
      <w:r w:rsidR="00E700DE">
        <w:t xml:space="preserve"> Communication</w:t>
      </w:r>
      <w:r w:rsidR="00436DF8">
        <w:t xml:space="preserve"> and</w:t>
      </w:r>
      <w:r w:rsidR="00E700DE">
        <w:t xml:space="preserve"> Engagement</w:t>
      </w:r>
      <w:r w:rsidR="00436DF8">
        <w:t xml:space="preserve"> and Pathways, Connections and </w:t>
      </w:r>
      <w:r>
        <w:tab/>
      </w:r>
      <w:r w:rsidR="00436DF8">
        <w:t xml:space="preserve">       </w:t>
      </w:r>
      <w:r>
        <w:tab/>
      </w:r>
      <w:r w:rsidR="00436DF8">
        <w:t>Technology.</w:t>
      </w:r>
      <w:r w:rsidR="009C546E">
        <w:t xml:space="preserve">  The workstreams have been in operation for several months and plans are well </w:t>
      </w:r>
      <w:r>
        <w:tab/>
      </w:r>
      <w:r w:rsidR="009C546E">
        <w:t>advanced.</w:t>
      </w:r>
    </w:p>
    <w:p w14:paraId="3CF2D8B6" w14:textId="77777777" w:rsidR="0081387B" w:rsidRDefault="0081387B" w:rsidP="00CA50AA">
      <w:pPr>
        <w:jc w:val="both"/>
        <w:rPr>
          <w:bCs/>
          <w:color w:val="FF0000"/>
        </w:rPr>
      </w:pPr>
    </w:p>
    <w:p w14:paraId="0C1F55DE" w14:textId="77777777" w:rsidR="0081387B" w:rsidRDefault="0081387B" w:rsidP="00CA50AA">
      <w:pPr>
        <w:jc w:val="both"/>
        <w:rPr>
          <w:bCs/>
          <w:color w:val="FF0000"/>
        </w:rPr>
      </w:pPr>
      <w:r w:rsidRPr="0051312C">
        <w:rPr>
          <w:bCs/>
        </w:rPr>
        <w:t>4.4</w:t>
      </w:r>
      <w:r w:rsidRPr="0051312C">
        <w:rPr>
          <w:bCs/>
        </w:rPr>
        <w:tab/>
        <w:t>Building</w:t>
      </w:r>
      <w:r w:rsidR="00E829C3">
        <w:rPr>
          <w:bCs/>
        </w:rPr>
        <w:t>/</w:t>
      </w:r>
      <w:r w:rsidRPr="0051312C">
        <w:rPr>
          <w:bCs/>
        </w:rPr>
        <w:t xml:space="preserve"> Aesthetics </w:t>
      </w:r>
      <w:r>
        <w:rPr>
          <w:bCs/>
          <w:color w:val="FF0000"/>
        </w:rPr>
        <w:t xml:space="preserve"> </w:t>
      </w:r>
    </w:p>
    <w:p w14:paraId="0FB78278" w14:textId="77777777" w:rsidR="00D22C53" w:rsidRDefault="00D22C53" w:rsidP="00D22C53">
      <w:pPr>
        <w:jc w:val="both"/>
        <w:rPr>
          <w:bCs/>
          <w:color w:val="FF0000"/>
        </w:rPr>
      </w:pPr>
    </w:p>
    <w:p w14:paraId="34CCBF01" w14:textId="77777777" w:rsidR="00D22C53" w:rsidRDefault="00E829C3" w:rsidP="00AE511F">
      <w:pPr>
        <w:ind w:left="720" w:hanging="720"/>
        <w:jc w:val="both"/>
        <w:rPr>
          <w:bCs/>
        </w:rPr>
      </w:pPr>
      <w:proofErr w:type="gramStart"/>
      <w:r>
        <w:rPr>
          <w:bCs/>
        </w:rPr>
        <w:lastRenderedPageBreak/>
        <w:t xml:space="preserve">4.4.1  </w:t>
      </w:r>
      <w:r w:rsidR="00AE511F">
        <w:rPr>
          <w:bCs/>
        </w:rPr>
        <w:tab/>
      </w:r>
      <w:proofErr w:type="gramEnd"/>
      <w:r w:rsidR="00D22C53" w:rsidRPr="00D22C53">
        <w:rPr>
          <w:bCs/>
        </w:rPr>
        <w:t xml:space="preserve">Planning Approval for the development was received </w:t>
      </w:r>
      <w:r w:rsidR="00243EAE">
        <w:rPr>
          <w:bCs/>
        </w:rPr>
        <w:t>during</w:t>
      </w:r>
      <w:r w:rsidR="00D22C53" w:rsidRPr="00D22C53">
        <w:rPr>
          <w:bCs/>
        </w:rPr>
        <w:t xml:space="preserve"> July 2022, and Building Warrant approval is expected imminently.  Work has already commenced on the building and it is now anticipated that the programme of work will be completed by the end of December 2022.</w:t>
      </w:r>
    </w:p>
    <w:p w14:paraId="1FC39945" w14:textId="77777777" w:rsidR="00AE511F" w:rsidRPr="00D22C53" w:rsidRDefault="00AE511F" w:rsidP="00D22C53">
      <w:pPr>
        <w:jc w:val="both"/>
        <w:rPr>
          <w:bCs/>
        </w:rPr>
      </w:pPr>
    </w:p>
    <w:p w14:paraId="50D2F9B7" w14:textId="77777777" w:rsidR="00FD125F" w:rsidRDefault="00E829C3" w:rsidP="00AE511F">
      <w:pPr>
        <w:ind w:left="720" w:hanging="720"/>
        <w:jc w:val="both"/>
        <w:rPr>
          <w:bCs/>
        </w:rPr>
      </w:pPr>
      <w:proofErr w:type="gramStart"/>
      <w:r>
        <w:rPr>
          <w:bCs/>
        </w:rPr>
        <w:t xml:space="preserve">4.4.2  </w:t>
      </w:r>
      <w:r w:rsidR="00AE511F">
        <w:rPr>
          <w:bCs/>
        </w:rPr>
        <w:tab/>
      </w:r>
      <w:proofErr w:type="gramEnd"/>
      <w:r w:rsidR="00D22C53" w:rsidRPr="00D22C53">
        <w:rPr>
          <w:bCs/>
        </w:rPr>
        <w:t xml:space="preserve">Stakeholders had the opportunity to view the premises at South Ward Road during March and have been involved in the </w:t>
      </w:r>
      <w:r>
        <w:rPr>
          <w:bCs/>
        </w:rPr>
        <w:t>planning</w:t>
      </w:r>
      <w:r w:rsidR="00D22C53" w:rsidRPr="00D22C53">
        <w:rPr>
          <w:bCs/>
        </w:rPr>
        <w:t xml:space="preserve"> of the internal decoration/ design of the public rooms identified within the </w:t>
      </w:r>
      <w:r>
        <w:rPr>
          <w:bCs/>
        </w:rPr>
        <w:t>C</w:t>
      </w:r>
      <w:r w:rsidR="00D22C53" w:rsidRPr="00D22C53">
        <w:rPr>
          <w:bCs/>
        </w:rPr>
        <w:t xml:space="preserve">entre.  This has included input into the shared space of the reception area and community cafe.  </w:t>
      </w:r>
    </w:p>
    <w:p w14:paraId="0562CB0E" w14:textId="77777777" w:rsidR="00FD125F" w:rsidRDefault="00FD125F" w:rsidP="00AE511F">
      <w:pPr>
        <w:ind w:left="720" w:hanging="720"/>
        <w:jc w:val="both"/>
        <w:rPr>
          <w:bCs/>
        </w:rPr>
      </w:pPr>
    </w:p>
    <w:p w14:paraId="17F1B7F4" w14:textId="77777777" w:rsidR="00AE511F" w:rsidRDefault="00E829C3" w:rsidP="00AE511F">
      <w:pPr>
        <w:ind w:left="720" w:hanging="720"/>
        <w:jc w:val="both"/>
        <w:rPr>
          <w:bCs/>
        </w:rPr>
      </w:pPr>
      <w:r>
        <w:rPr>
          <w:bCs/>
        </w:rPr>
        <w:t xml:space="preserve">4.4.3 </w:t>
      </w:r>
      <w:r w:rsidR="00FD125F">
        <w:rPr>
          <w:bCs/>
        </w:rPr>
        <w:tab/>
      </w:r>
      <w:r w:rsidR="00D22C53" w:rsidRPr="00D22C53">
        <w:rPr>
          <w:bCs/>
        </w:rPr>
        <w:t>Decisions agreed by the group have been used to influence internal features such as paint colours, flooring and furniture and fittings.</w:t>
      </w:r>
    </w:p>
    <w:p w14:paraId="29D6B04F" w14:textId="77777777" w:rsidR="00E829C3" w:rsidRDefault="00D22C53" w:rsidP="00D22C53">
      <w:pPr>
        <w:jc w:val="both"/>
        <w:rPr>
          <w:bCs/>
        </w:rPr>
      </w:pPr>
      <w:r w:rsidRPr="00D22C53">
        <w:rPr>
          <w:bCs/>
        </w:rPr>
        <w:t xml:space="preserve"> </w:t>
      </w:r>
    </w:p>
    <w:p w14:paraId="64F9698E" w14:textId="77777777" w:rsidR="00D22C53" w:rsidRPr="00D22C53" w:rsidRDefault="00E829C3" w:rsidP="00FD125F">
      <w:pPr>
        <w:ind w:left="720" w:hanging="720"/>
        <w:jc w:val="both"/>
        <w:rPr>
          <w:bCs/>
        </w:rPr>
      </w:pPr>
      <w:proofErr w:type="gramStart"/>
      <w:r>
        <w:rPr>
          <w:bCs/>
        </w:rPr>
        <w:t xml:space="preserve">4.4.4  </w:t>
      </w:r>
      <w:r w:rsidR="00FD125F">
        <w:rPr>
          <w:bCs/>
        </w:rPr>
        <w:tab/>
      </w:r>
      <w:proofErr w:type="gramEnd"/>
      <w:r w:rsidR="00D22C53" w:rsidRPr="00D22C53">
        <w:rPr>
          <w:bCs/>
        </w:rPr>
        <w:t xml:space="preserve">Stakeholders will continue to be involved </w:t>
      </w:r>
      <w:r w:rsidR="00FB5ED2">
        <w:rPr>
          <w:bCs/>
        </w:rPr>
        <w:t>as the development progresses</w:t>
      </w:r>
      <w:r w:rsidR="00D22C53" w:rsidRPr="00D22C53">
        <w:rPr>
          <w:bCs/>
        </w:rPr>
        <w:t xml:space="preserve"> and the next focus</w:t>
      </w:r>
      <w:r w:rsidR="00FB5ED2">
        <w:rPr>
          <w:bCs/>
        </w:rPr>
        <w:t>s</w:t>
      </w:r>
      <w:r w:rsidR="00D22C53" w:rsidRPr="00D22C53">
        <w:rPr>
          <w:bCs/>
        </w:rPr>
        <w:t xml:space="preserve">ed area </w:t>
      </w:r>
      <w:r w:rsidR="00FB5ED2">
        <w:rPr>
          <w:bCs/>
        </w:rPr>
        <w:t xml:space="preserve">for consideration </w:t>
      </w:r>
      <w:r w:rsidR="00D22C53" w:rsidRPr="00D22C53">
        <w:rPr>
          <w:bCs/>
        </w:rPr>
        <w:t xml:space="preserve">will be the furnishings required for the short-term accommodation with support. </w:t>
      </w:r>
    </w:p>
    <w:p w14:paraId="34CE0A41" w14:textId="77777777" w:rsidR="00D22C53" w:rsidRPr="00D22C53" w:rsidRDefault="00D22C53" w:rsidP="00D22C53">
      <w:pPr>
        <w:jc w:val="both"/>
        <w:rPr>
          <w:bCs/>
        </w:rPr>
      </w:pPr>
    </w:p>
    <w:p w14:paraId="109FF319" w14:textId="77777777" w:rsidR="0081387B" w:rsidRDefault="0081387B" w:rsidP="00CA50AA">
      <w:pPr>
        <w:jc w:val="both"/>
        <w:rPr>
          <w:bCs/>
          <w:color w:val="FF0000"/>
        </w:rPr>
      </w:pPr>
      <w:r w:rsidRPr="0051312C">
        <w:rPr>
          <w:bCs/>
        </w:rPr>
        <w:t xml:space="preserve">4.5 </w:t>
      </w:r>
      <w:r w:rsidRPr="0051312C">
        <w:rPr>
          <w:bCs/>
        </w:rPr>
        <w:tab/>
        <w:t>Procurement</w:t>
      </w:r>
      <w:r w:rsidR="008E3371">
        <w:rPr>
          <w:bCs/>
        </w:rPr>
        <w:t xml:space="preserve"> (of Support Service)</w:t>
      </w:r>
    </w:p>
    <w:p w14:paraId="62EBF3C5" w14:textId="77777777" w:rsidR="00356438" w:rsidRDefault="00356438" w:rsidP="00CA50AA">
      <w:pPr>
        <w:jc w:val="both"/>
        <w:rPr>
          <w:bCs/>
          <w:color w:val="FF0000"/>
        </w:rPr>
      </w:pPr>
    </w:p>
    <w:p w14:paraId="3246FEDA" w14:textId="77777777" w:rsidR="00AE511F" w:rsidRPr="00440585" w:rsidRDefault="00E829C3" w:rsidP="00440585">
      <w:pPr>
        <w:ind w:left="720" w:hanging="720"/>
        <w:jc w:val="both"/>
        <w:rPr>
          <w:rFonts w:eastAsia="Calibri" w:cs="Arial"/>
        </w:rPr>
      </w:pPr>
      <w:proofErr w:type="gramStart"/>
      <w:r w:rsidRPr="00440585">
        <w:rPr>
          <w:rFonts w:eastAsia="Calibri" w:cs="Arial"/>
        </w:rPr>
        <w:t>4.</w:t>
      </w:r>
      <w:r w:rsidR="000E2059" w:rsidRPr="00440585">
        <w:rPr>
          <w:rFonts w:eastAsia="Calibri" w:cs="Arial"/>
        </w:rPr>
        <w:t>5</w:t>
      </w:r>
      <w:r w:rsidRPr="00440585">
        <w:rPr>
          <w:rFonts w:eastAsia="Calibri" w:cs="Arial"/>
        </w:rPr>
        <w:t xml:space="preserve">.1  </w:t>
      </w:r>
      <w:r w:rsidR="00AE511F" w:rsidRPr="00440585">
        <w:rPr>
          <w:rFonts w:eastAsia="Calibri" w:cs="Arial"/>
        </w:rPr>
        <w:tab/>
      </w:r>
      <w:proofErr w:type="gramEnd"/>
      <w:r w:rsidR="00356438" w:rsidRPr="00440585">
        <w:rPr>
          <w:rFonts w:eastAsia="Calibri" w:cs="Arial"/>
        </w:rPr>
        <w:t>A prior information notice (PIN) was published 15</w:t>
      </w:r>
      <w:r w:rsidR="00356438" w:rsidRPr="00440585">
        <w:rPr>
          <w:rFonts w:eastAsia="Calibri" w:cs="Arial"/>
          <w:vertAlign w:val="superscript"/>
        </w:rPr>
        <w:t>th</w:t>
      </w:r>
      <w:r w:rsidR="00356438" w:rsidRPr="00440585">
        <w:rPr>
          <w:rFonts w:eastAsia="Calibri" w:cs="Arial"/>
        </w:rPr>
        <w:t xml:space="preserve"> February 2022 giving potential bidders an overview of the planned </w:t>
      </w:r>
      <w:r w:rsidR="008E3371">
        <w:rPr>
          <w:rFonts w:eastAsia="Calibri" w:cs="Arial"/>
        </w:rPr>
        <w:t xml:space="preserve">support service </w:t>
      </w:r>
      <w:r w:rsidR="00356438" w:rsidRPr="00440585">
        <w:rPr>
          <w:rFonts w:eastAsia="Calibri" w:cs="Arial"/>
        </w:rPr>
        <w:t xml:space="preserve">development and tender process.  This has generated interest from several </w:t>
      </w:r>
      <w:r w:rsidR="008E3371">
        <w:rPr>
          <w:rFonts w:eastAsia="Calibri" w:cs="Arial"/>
        </w:rPr>
        <w:t xml:space="preserve">care </w:t>
      </w:r>
      <w:r w:rsidR="00356438" w:rsidRPr="00440585">
        <w:rPr>
          <w:rFonts w:eastAsia="Calibri" w:cs="Arial"/>
        </w:rPr>
        <w:t>providers which is positive. </w:t>
      </w:r>
    </w:p>
    <w:p w14:paraId="0A6959E7" w14:textId="77777777" w:rsidR="00E829C3" w:rsidRPr="00440585" w:rsidRDefault="00356438" w:rsidP="00AE511F">
      <w:pPr>
        <w:ind w:left="720" w:hanging="720"/>
        <w:rPr>
          <w:rFonts w:eastAsia="Calibri" w:cs="Arial"/>
        </w:rPr>
      </w:pPr>
      <w:r w:rsidRPr="00440585">
        <w:rPr>
          <w:rFonts w:eastAsia="Calibri" w:cs="Arial"/>
        </w:rPr>
        <w:t xml:space="preserve"> </w:t>
      </w:r>
    </w:p>
    <w:p w14:paraId="2255BF7D" w14:textId="29538EC7" w:rsidR="00CD28EA" w:rsidRPr="00440585" w:rsidRDefault="00E829C3" w:rsidP="00440585">
      <w:pPr>
        <w:ind w:left="720" w:hanging="720"/>
        <w:jc w:val="both"/>
        <w:rPr>
          <w:rFonts w:eastAsia="Calibri" w:cs="Arial"/>
        </w:rPr>
      </w:pPr>
      <w:r w:rsidRPr="61F799B9">
        <w:rPr>
          <w:rFonts w:eastAsia="Calibri" w:cs="Arial"/>
        </w:rPr>
        <w:t>4.</w:t>
      </w:r>
      <w:r w:rsidR="000E2059" w:rsidRPr="61F799B9">
        <w:rPr>
          <w:rFonts w:eastAsia="Calibri" w:cs="Arial"/>
        </w:rPr>
        <w:t>5</w:t>
      </w:r>
      <w:r w:rsidRPr="61F799B9">
        <w:rPr>
          <w:rFonts w:eastAsia="Calibri" w:cs="Arial"/>
        </w:rPr>
        <w:t xml:space="preserve">.2     </w:t>
      </w:r>
      <w:r w:rsidR="00356438" w:rsidRPr="61F799B9">
        <w:rPr>
          <w:rFonts w:eastAsia="Calibri" w:cs="Arial"/>
        </w:rPr>
        <w:t>The workstream group met</w:t>
      </w:r>
      <w:r w:rsidRPr="61F799B9">
        <w:rPr>
          <w:rFonts w:eastAsia="Calibri" w:cs="Arial"/>
        </w:rPr>
        <w:t xml:space="preserve"> to consider and agree</w:t>
      </w:r>
      <w:r w:rsidR="00356438" w:rsidRPr="61F799B9">
        <w:rPr>
          <w:rFonts w:eastAsia="Calibri" w:cs="Arial"/>
        </w:rPr>
        <w:t xml:space="preserve"> the questions which will be incorporated into the Invite to Tender document.  With regards to the service specification, it is planned to issue the slides compiled after a comprehensive consultation exercise to a range of stakeholders.  It is felt the information gathered through this process gives a real and honest account of what stakeholders want from the centre and the support service.  It also gives an opportunity to seek creative bids from those who have noted their interest.  </w:t>
      </w:r>
    </w:p>
    <w:p w14:paraId="6D98A12B" w14:textId="77777777" w:rsidR="00AE511F" w:rsidRPr="00440585" w:rsidRDefault="00AE511F" w:rsidP="00440585">
      <w:pPr>
        <w:ind w:left="720" w:hanging="720"/>
        <w:jc w:val="both"/>
        <w:rPr>
          <w:rFonts w:eastAsia="Calibri" w:cs="Arial"/>
        </w:rPr>
      </w:pPr>
    </w:p>
    <w:p w14:paraId="1C5D5CDA" w14:textId="3DECD70A" w:rsidR="00356438" w:rsidRPr="00440585" w:rsidRDefault="00CD28EA" w:rsidP="00440585">
      <w:pPr>
        <w:ind w:left="720" w:hanging="720"/>
        <w:jc w:val="both"/>
        <w:rPr>
          <w:rFonts w:eastAsia="Calibri" w:cs="Arial"/>
        </w:rPr>
      </w:pPr>
      <w:proofErr w:type="gramStart"/>
      <w:r w:rsidRPr="61F799B9">
        <w:rPr>
          <w:rFonts w:eastAsia="Calibri" w:cs="Arial"/>
        </w:rPr>
        <w:t>4.</w:t>
      </w:r>
      <w:r w:rsidR="000E2059" w:rsidRPr="61F799B9">
        <w:rPr>
          <w:rFonts w:eastAsia="Calibri" w:cs="Arial"/>
        </w:rPr>
        <w:t>5</w:t>
      </w:r>
      <w:r w:rsidRPr="61F799B9">
        <w:rPr>
          <w:rFonts w:eastAsia="Calibri" w:cs="Arial"/>
        </w:rPr>
        <w:t>.3</w:t>
      </w:r>
      <w:r w:rsidR="005B676A" w:rsidRPr="61F799B9">
        <w:rPr>
          <w:rFonts w:eastAsia="Calibri" w:cs="Arial"/>
        </w:rPr>
        <w:t xml:space="preserve">  The</w:t>
      </w:r>
      <w:proofErr w:type="gramEnd"/>
      <w:r w:rsidR="00356438" w:rsidRPr="61F799B9">
        <w:rPr>
          <w:rFonts w:eastAsia="Calibri" w:cs="Arial"/>
        </w:rPr>
        <w:t xml:space="preserve"> Tender</w:t>
      </w:r>
      <w:r w:rsidR="005B676A" w:rsidRPr="61F799B9">
        <w:rPr>
          <w:rFonts w:eastAsia="Calibri" w:cs="Arial"/>
        </w:rPr>
        <w:t xml:space="preserve"> was published</w:t>
      </w:r>
      <w:r w:rsidR="00356438" w:rsidRPr="61F799B9">
        <w:rPr>
          <w:rFonts w:eastAsia="Calibri" w:cs="Arial"/>
        </w:rPr>
        <w:t xml:space="preserve"> on the 18</w:t>
      </w:r>
      <w:r w:rsidR="00356438" w:rsidRPr="61F799B9">
        <w:rPr>
          <w:rFonts w:eastAsia="Calibri" w:cs="Arial"/>
          <w:vertAlign w:val="superscript"/>
        </w:rPr>
        <w:t>th</w:t>
      </w:r>
      <w:r w:rsidR="00356438" w:rsidRPr="61F799B9">
        <w:rPr>
          <w:rFonts w:eastAsia="Calibri" w:cs="Arial"/>
        </w:rPr>
        <w:t xml:space="preserve"> July 2022 with the following being agreed as an indicative timetable for the tender process:</w:t>
      </w:r>
    </w:p>
    <w:p w14:paraId="2946DB82" w14:textId="77777777" w:rsidR="00356438" w:rsidRPr="00440585" w:rsidRDefault="00356438" w:rsidP="00440585">
      <w:pPr>
        <w:jc w:val="both"/>
        <w:rPr>
          <w:rFonts w:eastAsia="Calibri" w:cs="Arial"/>
        </w:rPr>
      </w:pPr>
    </w:p>
    <w:p w14:paraId="5997CC1D" w14:textId="77777777" w:rsidR="00356438" w:rsidRPr="00356438" w:rsidRDefault="00356438" w:rsidP="00356438">
      <w:pPr>
        <w:ind w:left="426" w:hanging="426"/>
        <w:jc w:val="both"/>
        <w:rPr>
          <w:rFonts w:eastAsia="Calibri" w:cs="Arial"/>
          <w:sz w:val="22"/>
          <w:szCs w:val="22"/>
          <w:lang w:eastAsia="en-GB"/>
        </w:rPr>
      </w:pPr>
    </w:p>
    <w:tbl>
      <w:tblPr>
        <w:tblW w:w="0" w:type="auto"/>
        <w:tblInd w:w="704" w:type="dxa"/>
        <w:tblCellMar>
          <w:left w:w="0" w:type="dxa"/>
          <w:right w:w="0" w:type="dxa"/>
        </w:tblCellMar>
        <w:tblLook w:val="04A0" w:firstRow="1" w:lastRow="0" w:firstColumn="1" w:lastColumn="0" w:noHBand="0" w:noVBand="1"/>
      </w:tblPr>
      <w:tblGrid>
        <w:gridCol w:w="4116"/>
        <w:gridCol w:w="4231"/>
      </w:tblGrid>
      <w:tr w:rsidR="00356438" w:rsidRPr="00356438" w14:paraId="273F1E94" w14:textId="77777777" w:rsidTr="61F799B9">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7A217"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Stage</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20206"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Date/Time</w:t>
            </w:r>
          </w:p>
        </w:tc>
      </w:tr>
      <w:tr w:rsidR="00356438" w:rsidRPr="00356438" w14:paraId="2AE685CB"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C0AFC"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Publish Invitation to Tender</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125AC4C"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Monday 18th July 2022</w:t>
            </w:r>
          </w:p>
        </w:tc>
      </w:tr>
      <w:tr w:rsidR="00356438" w:rsidRPr="00356438" w14:paraId="0C857860"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88BC7"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Last Date for Tender Questions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CEBBCB0" w14:textId="78644BE3" w:rsidR="00356438" w:rsidRPr="00356438" w:rsidRDefault="00854931" w:rsidP="00356438">
            <w:pPr>
              <w:overflowPunct w:val="0"/>
              <w:autoSpaceDE w:val="0"/>
              <w:autoSpaceDN w:val="0"/>
              <w:jc w:val="both"/>
              <w:rPr>
                <w:rFonts w:eastAsia="Calibri" w:cs="Arial"/>
                <w:b/>
                <w:bCs/>
                <w:sz w:val="22"/>
                <w:szCs w:val="22"/>
              </w:rPr>
            </w:pPr>
            <w:r w:rsidRPr="61F799B9">
              <w:rPr>
                <w:rFonts w:eastAsia="Calibri" w:cs="Arial"/>
                <w:b/>
                <w:bCs/>
                <w:sz w:val="22"/>
                <w:szCs w:val="22"/>
              </w:rPr>
              <w:t>Tuesday 2</w:t>
            </w:r>
            <w:r w:rsidRPr="61F799B9">
              <w:rPr>
                <w:rFonts w:eastAsia="Calibri" w:cs="Arial"/>
                <w:b/>
                <w:bCs/>
                <w:sz w:val="22"/>
                <w:szCs w:val="22"/>
                <w:vertAlign w:val="superscript"/>
              </w:rPr>
              <w:t>nd</w:t>
            </w:r>
            <w:r w:rsidRPr="61F799B9">
              <w:rPr>
                <w:rFonts w:eastAsia="Calibri" w:cs="Arial"/>
                <w:b/>
                <w:bCs/>
                <w:sz w:val="22"/>
                <w:szCs w:val="22"/>
              </w:rPr>
              <w:t xml:space="preserve"> August 2022 – 12 noon</w:t>
            </w:r>
          </w:p>
        </w:tc>
      </w:tr>
      <w:tr w:rsidR="00356438" w:rsidRPr="00356438" w14:paraId="4AC37FA6"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90A3A"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Latest Tender Return Date/Time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73E3B3F"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 xml:space="preserve">12:00 noon on </w:t>
            </w:r>
            <w:r w:rsidR="00912D92">
              <w:rPr>
                <w:rFonts w:eastAsia="Calibri" w:cs="Arial"/>
                <w:b/>
                <w:bCs/>
                <w:sz w:val="22"/>
                <w:szCs w:val="22"/>
              </w:rPr>
              <w:t>Wednesday</w:t>
            </w:r>
            <w:r w:rsidRPr="00356438">
              <w:rPr>
                <w:rFonts w:eastAsia="Calibri" w:cs="Arial"/>
                <w:b/>
                <w:bCs/>
                <w:sz w:val="22"/>
                <w:szCs w:val="22"/>
              </w:rPr>
              <w:t xml:space="preserve"> 1</w:t>
            </w:r>
            <w:r w:rsidR="00912D92">
              <w:rPr>
                <w:rFonts w:eastAsia="Calibri" w:cs="Arial"/>
                <w:b/>
                <w:bCs/>
                <w:sz w:val="22"/>
                <w:szCs w:val="22"/>
              </w:rPr>
              <w:t>7</w:t>
            </w:r>
            <w:r w:rsidRPr="00356438">
              <w:rPr>
                <w:rFonts w:eastAsia="Calibri" w:cs="Arial"/>
                <w:b/>
                <w:bCs/>
                <w:sz w:val="22"/>
                <w:szCs w:val="22"/>
                <w:vertAlign w:val="superscript"/>
              </w:rPr>
              <w:t>th</w:t>
            </w:r>
            <w:r w:rsidRPr="00356438">
              <w:rPr>
                <w:rFonts w:eastAsia="Calibri" w:cs="Arial"/>
                <w:b/>
                <w:bCs/>
                <w:sz w:val="22"/>
                <w:szCs w:val="22"/>
              </w:rPr>
              <w:t xml:space="preserve"> August 2022</w:t>
            </w:r>
          </w:p>
        </w:tc>
      </w:tr>
      <w:tr w:rsidR="00356438" w:rsidRPr="00356438" w14:paraId="5AF21137"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DA235"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Evaluation Process Commences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3434E8D" w14:textId="0E82D56A" w:rsidR="00356438" w:rsidRPr="00356438" w:rsidRDefault="00356438" w:rsidP="00356438">
            <w:pPr>
              <w:overflowPunct w:val="0"/>
              <w:autoSpaceDE w:val="0"/>
              <w:autoSpaceDN w:val="0"/>
              <w:jc w:val="both"/>
              <w:rPr>
                <w:rFonts w:eastAsia="Calibri" w:cs="Arial"/>
                <w:b/>
                <w:bCs/>
                <w:sz w:val="22"/>
                <w:szCs w:val="22"/>
              </w:rPr>
            </w:pPr>
            <w:r w:rsidRPr="61F799B9">
              <w:rPr>
                <w:rFonts w:eastAsia="Calibri" w:cs="Arial"/>
                <w:b/>
                <w:bCs/>
                <w:sz w:val="22"/>
                <w:szCs w:val="22"/>
              </w:rPr>
              <w:t>Wednesday 17</w:t>
            </w:r>
            <w:r w:rsidRPr="61F799B9">
              <w:rPr>
                <w:rFonts w:eastAsia="Calibri" w:cs="Arial"/>
                <w:b/>
                <w:bCs/>
                <w:sz w:val="22"/>
                <w:szCs w:val="22"/>
                <w:vertAlign w:val="superscript"/>
              </w:rPr>
              <w:t>th</w:t>
            </w:r>
            <w:r w:rsidRPr="61F799B9">
              <w:rPr>
                <w:rFonts w:eastAsia="Calibri" w:cs="Arial"/>
                <w:b/>
                <w:bCs/>
                <w:sz w:val="22"/>
                <w:szCs w:val="22"/>
              </w:rPr>
              <w:t xml:space="preserve"> August 2022 </w:t>
            </w:r>
          </w:p>
        </w:tc>
      </w:tr>
      <w:tr w:rsidR="00356438" w:rsidRPr="00356438" w14:paraId="2F531239"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E08D1"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Evaluation</w:t>
            </w:r>
            <w:r w:rsidRPr="00356438">
              <w:rPr>
                <w:rFonts w:eastAsia="Calibri" w:cs="Arial"/>
                <w:b/>
                <w:bCs/>
                <w:strike/>
                <w:sz w:val="22"/>
                <w:szCs w:val="22"/>
              </w:rPr>
              <w:t>s</w:t>
            </w:r>
            <w:r w:rsidRPr="00356438">
              <w:rPr>
                <w:rFonts w:eastAsia="Calibri" w:cs="Arial"/>
                <w:b/>
                <w:bCs/>
                <w:sz w:val="22"/>
                <w:szCs w:val="22"/>
              </w:rPr>
              <w:t xml:space="preserve"> Process Ends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6DDDE248"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Friday 26</w:t>
            </w:r>
            <w:r w:rsidRPr="00356438">
              <w:rPr>
                <w:rFonts w:eastAsia="Calibri" w:cs="Arial"/>
                <w:b/>
                <w:bCs/>
                <w:sz w:val="22"/>
                <w:szCs w:val="22"/>
                <w:vertAlign w:val="superscript"/>
              </w:rPr>
              <w:t>th</w:t>
            </w:r>
            <w:r w:rsidRPr="00356438">
              <w:rPr>
                <w:rFonts w:eastAsia="Calibri" w:cs="Arial"/>
                <w:b/>
                <w:bCs/>
                <w:sz w:val="22"/>
                <w:szCs w:val="22"/>
              </w:rPr>
              <w:t xml:space="preserve"> August 2022</w:t>
            </w:r>
          </w:p>
        </w:tc>
      </w:tr>
      <w:tr w:rsidR="00356438" w:rsidRPr="00356438" w14:paraId="24F10FEA"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BD13E"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 xml:space="preserve">Follow-up Meetings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6CF8C657"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Week Beginning 22</w:t>
            </w:r>
            <w:r w:rsidRPr="00356438">
              <w:rPr>
                <w:rFonts w:eastAsia="Calibri" w:cs="Arial"/>
                <w:b/>
                <w:bCs/>
                <w:sz w:val="22"/>
                <w:szCs w:val="22"/>
                <w:vertAlign w:val="superscript"/>
              </w:rPr>
              <w:t>nd</w:t>
            </w:r>
            <w:r w:rsidRPr="00356438">
              <w:rPr>
                <w:rFonts w:eastAsia="Calibri" w:cs="Arial"/>
                <w:b/>
                <w:bCs/>
                <w:sz w:val="22"/>
                <w:szCs w:val="22"/>
              </w:rPr>
              <w:t xml:space="preserve"> August 2022</w:t>
            </w:r>
          </w:p>
        </w:tc>
      </w:tr>
      <w:tr w:rsidR="00356438" w:rsidRPr="00356438" w14:paraId="4FCCBCFC"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DF294"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Notification of Outcome Letters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A9E5688"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Week Beginning 29</w:t>
            </w:r>
            <w:r w:rsidRPr="00356438">
              <w:rPr>
                <w:rFonts w:eastAsia="Calibri" w:cs="Arial"/>
                <w:b/>
                <w:bCs/>
                <w:sz w:val="22"/>
                <w:szCs w:val="22"/>
                <w:vertAlign w:val="superscript"/>
              </w:rPr>
              <w:t>th</w:t>
            </w:r>
            <w:r w:rsidRPr="00356438">
              <w:rPr>
                <w:rFonts w:eastAsia="Calibri" w:cs="Arial"/>
                <w:b/>
                <w:bCs/>
                <w:sz w:val="22"/>
                <w:szCs w:val="22"/>
              </w:rPr>
              <w:t xml:space="preserve"> August 2022</w:t>
            </w:r>
          </w:p>
        </w:tc>
      </w:tr>
      <w:tr w:rsidR="00356438" w:rsidRPr="00356438" w14:paraId="460CB05E"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960F8"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 xml:space="preserve">10 Day Standstill Period Ends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F61F06D" w14:textId="029B42BD" w:rsidR="00356438" w:rsidRPr="00356438" w:rsidRDefault="61F799B9" w:rsidP="00356438">
            <w:pPr>
              <w:overflowPunct w:val="0"/>
              <w:autoSpaceDE w:val="0"/>
              <w:autoSpaceDN w:val="0"/>
              <w:jc w:val="both"/>
              <w:rPr>
                <w:rFonts w:eastAsia="Calibri" w:cs="Arial"/>
                <w:b/>
                <w:bCs/>
                <w:sz w:val="22"/>
                <w:szCs w:val="22"/>
              </w:rPr>
            </w:pPr>
            <w:r w:rsidRPr="61F799B9">
              <w:rPr>
                <w:rFonts w:eastAsia="Calibri" w:cs="Arial"/>
                <w:b/>
                <w:bCs/>
                <w:sz w:val="22"/>
                <w:szCs w:val="22"/>
              </w:rPr>
              <w:t>Monday 12th September 2022</w:t>
            </w:r>
          </w:p>
        </w:tc>
      </w:tr>
      <w:tr w:rsidR="00356438" w:rsidRPr="00356438" w14:paraId="339CC430"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441A3"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Contract Award Target Date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786BD9F7" w14:textId="5D8A9B31" w:rsidR="00356438" w:rsidRPr="00356438" w:rsidRDefault="61F799B9" w:rsidP="00356438">
            <w:pPr>
              <w:overflowPunct w:val="0"/>
              <w:autoSpaceDE w:val="0"/>
              <w:autoSpaceDN w:val="0"/>
              <w:jc w:val="both"/>
              <w:rPr>
                <w:rFonts w:eastAsia="Calibri" w:cs="Arial"/>
                <w:b/>
                <w:bCs/>
                <w:sz w:val="22"/>
                <w:szCs w:val="22"/>
              </w:rPr>
            </w:pPr>
            <w:r w:rsidRPr="61F799B9">
              <w:rPr>
                <w:rFonts w:eastAsia="Calibri" w:cs="Arial"/>
                <w:b/>
                <w:bCs/>
                <w:sz w:val="22"/>
                <w:szCs w:val="22"/>
              </w:rPr>
              <w:t>Tuesday 13th September 2022</w:t>
            </w:r>
          </w:p>
        </w:tc>
      </w:tr>
      <w:tr w:rsidR="00356438" w:rsidRPr="00356438" w14:paraId="11AC0D51" w14:textId="77777777" w:rsidTr="61F799B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F25E4" w14:textId="77777777" w:rsidR="00356438" w:rsidRPr="00356438" w:rsidRDefault="00356438" w:rsidP="00356438">
            <w:pPr>
              <w:overflowPunct w:val="0"/>
              <w:autoSpaceDE w:val="0"/>
              <w:autoSpaceDN w:val="0"/>
              <w:jc w:val="both"/>
              <w:rPr>
                <w:rFonts w:eastAsia="Calibri" w:cs="Arial"/>
                <w:b/>
                <w:bCs/>
                <w:sz w:val="22"/>
                <w:szCs w:val="22"/>
              </w:rPr>
            </w:pPr>
            <w:r w:rsidRPr="00356438">
              <w:rPr>
                <w:rFonts w:eastAsia="Calibri" w:cs="Arial"/>
                <w:b/>
                <w:bCs/>
                <w:sz w:val="22"/>
                <w:szCs w:val="22"/>
              </w:rPr>
              <w:t>Target Date for Start of Contract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86F02F7" w14:textId="1D9B80FC" w:rsidR="00356438" w:rsidRPr="00356438" w:rsidRDefault="61F799B9" w:rsidP="00356438">
            <w:pPr>
              <w:overflowPunct w:val="0"/>
              <w:autoSpaceDE w:val="0"/>
              <w:autoSpaceDN w:val="0"/>
              <w:jc w:val="both"/>
              <w:rPr>
                <w:rFonts w:eastAsia="Calibri" w:cs="Arial"/>
                <w:b/>
                <w:bCs/>
                <w:sz w:val="22"/>
                <w:szCs w:val="22"/>
              </w:rPr>
            </w:pPr>
            <w:r w:rsidRPr="61F799B9">
              <w:rPr>
                <w:rFonts w:eastAsia="Calibri" w:cs="Arial"/>
                <w:b/>
                <w:bCs/>
                <w:sz w:val="22"/>
                <w:szCs w:val="22"/>
              </w:rPr>
              <w:t>Monday 10</w:t>
            </w:r>
            <w:r w:rsidRPr="61F799B9">
              <w:rPr>
                <w:rFonts w:eastAsia="Calibri" w:cs="Arial"/>
                <w:b/>
                <w:bCs/>
                <w:sz w:val="22"/>
                <w:szCs w:val="22"/>
                <w:vertAlign w:val="superscript"/>
              </w:rPr>
              <w:t>th</w:t>
            </w:r>
            <w:r w:rsidRPr="61F799B9">
              <w:rPr>
                <w:rFonts w:eastAsia="Calibri" w:cs="Arial"/>
                <w:b/>
                <w:bCs/>
                <w:sz w:val="22"/>
                <w:szCs w:val="22"/>
              </w:rPr>
              <w:t xml:space="preserve"> October 2022</w:t>
            </w:r>
          </w:p>
        </w:tc>
      </w:tr>
    </w:tbl>
    <w:p w14:paraId="110FFD37" w14:textId="77777777" w:rsidR="00356438" w:rsidRPr="00356438" w:rsidRDefault="00356438" w:rsidP="00356438">
      <w:pPr>
        <w:rPr>
          <w:rFonts w:ascii="Calibri" w:eastAsia="Calibri" w:hAnsi="Calibri" w:cs="Calibri"/>
          <w:sz w:val="22"/>
          <w:szCs w:val="22"/>
        </w:rPr>
      </w:pPr>
    </w:p>
    <w:p w14:paraId="79F0F205" w14:textId="77777777" w:rsidR="0081387B" w:rsidRDefault="0081387B" w:rsidP="00CA50AA">
      <w:pPr>
        <w:jc w:val="both"/>
        <w:rPr>
          <w:bCs/>
          <w:color w:val="92CDDC" w:themeColor="accent5" w:themeTint="99"/>
        </w:rPr>
      </w:pPr>
      <w:r w:rsidRPr="0051312C">
        <w:rPr>
          <w:bCs/>
        </w:rPr>
        <w:t xml:space="preserve">4.6 </w:t>
      </w:r>
      <w:r w:rsidRPr="0051312C">
        <w:rPr>
          <w:bCs/>
        </w:rPr>
        <w:tab/>
        <w:t xml:space="preserve">Communication and Engagement </w:t>
      </w:r>
    </w:p>
    <w:p w14:paraId="6B699379" w14:textId="77777777" w:rsidR="001D2F68" w:rsidRDefault="001D2F68" w:rsidP="00CA50AA">
      <w:pPr>
        <w:jc w:val="both"/>
        <w:rPr>
          <w:bCs/>
          <w:color w:val="FF0000"/>
        </w:rPr>
      </w:pPr>
    </w:p>
    <w:p w14:paraId="22C039CF" w14:textId="7F50A93F" w:rsidR="00AE511F" w:rsidRDefault="00374B3C" w:rsidP="00AE511F">
      <w:pPr>
        <w:ind w:left="720" w:hanging="720"/>
        <w:jc w:val="both"/>
      </w:pPr>
      <w:r>
        <w:t xml:space="preserve">4.6.1   </w:t>
      </w:r>
      <w:r w:rsidR="001D2F68">
        <w:t xml:space="preserve">The Communications and Engagement Workstream is being facilitated by </w:t>
      </w:r>
      <w:r>
        <w:t>colleagues within Dundee Volunteer and Voluntary Action (DVVA)</w:t>
      </w:r>
      <w:r w:rsidR="001D2F68">
        <w:t xml:space="preserve"> and an inclusive communications and engagement plan for the Community Wellbeing Centre project</w:t>
      </w:r>
      <w:r>
        <w:t xml:space="preserve"> has been produced.</w:t>
      </w:r>
      <w:r w:rsidR="001D2F68">
        <w:t xml:space="preserve"> The plan includes promoting the centre, its purpose, how to access it, and how to get involved in its development. It will cover the period from now until the first few months </w:t>
      </w:r>
      <w:r>
        <w:t>the Centre has been operating.</w:t>
      </w:r>
    </w:p>
    <w:p w14:paraId="100C5B58" w14:textId="77777777" w:rsidR="00374B3C" w:rsidRDefault="001D2F68" w:rsidP="00AE511F">
      <w:pPr>
        <w:ind w:left="720" w:hanging="720"/>
        <w:jc w:val="both"/>
        <w:rPr>
          <w:bCs/>
        </w:rPr>
      </w:pPr>
      <w:r w:rsidRPr="001D2F68">
        <w:rPr>
          <w:bCs/>
        </w:rPr>
        <w:t xml:space="preserve"> </w:t>
      </w:r>
    </w:p>
    <w:p w14:paraId="06627B36" w14:textId="77777777" w:rsidR="00AE511F" w:rsidRDefault="00374B3C" w:rsidP="00AE511F">
      <w:pPr>
        <w:ind w:left="720" w:hanging="720"/>
        <w:jc w:val="both"/>
        <w:rPr>
          <w:bCs/>
        </w:rPr>
      </w:pPr>
      <w:proofErr w:type="gramStart"/>
      <w:r>
        <w:rPr>
          <w:bCs/>
        </w:rPr>
        <w:t xml:space="preserve">4.6.2  </w:t>
      </w:r>
      <w:r w:rsidR="00AE511F">
        <w:rPr>
          <w:bCs/>
        </w:rPr>
        <w:tab/>
      </w:r>
      <w:proofErr w:type="gramEnd"/>
      <w:r w:rsidR="001D2F68" w:rsidRPr="001D2F68">
        <w:rPr>
          <w:bCs/>
        </w:rPr>
        <w:t xml:space="preserve">The group along with their wider networks have co-produced an information leaflet about the centre in PDF and PNG format. The information leaflet will be circulated across the city </w:t>
      </w:r>
      <w:r>
        <w:rPr>
          <w:bCs/>
        </w:rPr>
        <w:t xml:space="preserve">and </w:t>
      </w:r>
      <w:proofErr w:type="gramStart"/>
      <w:r>
        <w:rPr>
          <w:bCs/>
        </w:rPr>
        <w:t xml:space="preserve">will </w:t>
      </w:r>
      <w:r w:rsidR="001D2F68" w:rsidRPr="001D2F68">
        <w:rPr>
          <w:bCs/>
        </w:rPr>
        <w:t xml:space="preserve"> incorpora</w:t>
      </w:r>
      <w:r w:rsidR="004B3BD1">
        <w:rPr>
          <w:bCs/>
        </w:rPr>
        <w:t>t</w:t>
      </w:r>
      <w:r>
        <w:rPr>
          <w:bCs/>
        </w:rPr>
        <w:t>e</w:t>
      </w:r>
      <w:proofErr w:type="gramEnd"/>
      <w:r w:rsidR="001D2F68" w:rsidRPr="001D2F68">
        <w:rPr>
          <w:bCs/>
        </w:rPr>
        <w:t xml:space="preserve"> the inclusive engagement plan.</w:t>
      </w:r>
    </w:p>
    <w:p w14:paraId="12F40E89" w14:textId="77777777" w:rsidR="00374B3C" w:rsidRDefault="001D2F68" w:rsidP="00AE511F">
      <w:pPr>
        <w:ind w:left="720" w:hanging="720"/>
        <w:jc w:val="both"/>
        <w:rPr>
          <w:bCs/>
        </w:rPr>
      </w:pPr>
      <w:r w:rsidRPr="001D2F68">
        <w:rPr>
          <w:bCs/>
        </w:rPr>
        <w:t xml:space="preserve"> </w:t>
      </w:r>
    </w:p>
    <w:p w14:paraId="3F172F8D" w14:textId="77777777" w:rsidR="00374B3C" w:rsidRDefault="00374B3C" w:rsidP="00AE511F">
      <w:pPr>
        <w:ind w:left="720" w:hanging="720"/>
        <w:jc w:val="both"/>
        <w:rPr>
          <w:bCs/>
        </w:rPr>
      </w:pPr>
      <w:proofErr w:type="gramStart"/>
      <w:r>
        <w:rPr>
          <w:bCs/>
        </w:rPr>
        <w:t xml:space="preserve">4.6.3  </w:t>
      </w:r>
      <w:r w:rsidR="00AE511F">
        <w:rPr>
          <w:bCs/>
        </w:rPr>
        <w:tab/>
      </w:r>
      <w:proofErr w:type="gramEnd"/>
      <w:r w:rsidR="001D2F68" w:rsidRPr="001D2F68">
        <w:rPr>
          <w:bCs/>
        </w:rPr>
        <w:t xml:space="preserve">An outreach model will offer information sessions to the most marginalised groups including </w:t>
      </w:r>
      <w:r>
        <w:rPr>
          <w:bCs/>
        </w:rPr>
        <w:t xml:space="preserve">people within </w:t>
      </w:r>
      <w:r w:rsidR="001D2F68" w:rsidRPr="001D2F68">
        <w:rPr>
          <w:bCs/>
        </w:rPr>
        <w:t>mental health inpatient settings,</w:t>
      </w:r>
      <w:r w:rsidR="001D2F68">
        <w:rPr>
          <w:bCs/>
        </w:rPr>
        <w:t xml:space="preserve"> </w:t>
      </w:r>
      <w:r w:rsidR="001D2F68" w:rsidRPr="001D2F68">
        <w:rPr>
          <w:bCs/>
        </w:rPr>
        <w:t>the HMP services that are linked to the city, recovery groups, criminal justice, gendered services, young people</w:t>
      </w:r>
      <w:r w:rsidR="001D2F68">
        <w:rPr>
          <w:bCs/>
        </w:rPr>
        <w:t>’</w:t>
      </w:r>
      <w:r w:rsidR="001D2F68" w:rsidRPr="001D2F68">
        <w:rPr>
          <w:bCs/>
        </w:rPr>
        <w:t>s services</w:t>
      </w:r>
      <w:r>
        <w:rPr>
          <w:bCs/>
        </w:rPr>
        <w:t>.  S</w:t>
      </w:r>
      <w:r w:rsidR="001D2F68" w:rsidRPr="001D2F68">
        <w:rPr>
          <w:bCs/>
        </w:rPr>
        <w:t xml:space="preserve">treet </w:t>
      </w:r>
      <w:r w:rsidR="001D2F68" w:rsidRPr="001D2F68">
        <w:rPr>
          <w:bCs/>
        </w:rPr>
        <w:lastRenderedPageBreak/>
        <w:t>conversations supported by the information leaflet in the city centre and in the areas with the highest level of deprivation</w:t>
      </w:r>
      <w:r>
        <w:rPr>
          <w:bCs/>
        </w:rPr>
        <w:t xml:space="preserve"> will also be on offer</w:t>
      </w:r>
      <w:r w:rsidR="001D2F68" w:rsidRPr="001D2F68">
        <w:rPr>
          <w:bCs/>
        </w:rPr>
        <w:t xml:space="preserve">. </w:t>
      </w:r>
    </w:p>
    <w:p w14:paraId="3FE9F23F" w14:textId="77777777" w:rsidR="00AE511F" w:rsidRDefault="00AE511F" w:rsidP="00AE511F">
      <w:pPr>
        <w:ind w:left="720" w:hanging="720"/>
        <w:jc w:val="both"/>
        <w:rPr>
          <w:bCs/>
        </w:rPr>
      </w:pPr>
    </w:p>
    <w:p w14:paraId="7B5B9E53" w14:textId="77777777" w:rsidR="001D2F68" w:rsidRPr="001D2F68" w:rsidRDefault="00374B3C" w:rsidP="00AE511F">
      <w:pPr>
        <w:ind w:left="720" w:hanging="720"/>
        <w:jc w:val="both"/>
        <w:rPr>
          <w:bCs/>
        </w:rPr>
      </w:pPr>
      <w:proofErr w:type="gramStart"/>
      <w:r>
        <w:rPr>
          <w:bCs/>
        </w:rPr>
        <w:t xml:space="preserve">4.6.4  </w:t>
      </w:r>
      <w:r w:rsidR="00AE511F">
        <w:rPr>
          <w:bCs/>
        </w:rPr>
        <w:tab/>
      </w:r>
      <w:proofErr w:type="gramEnd"/>
      <w:r w:rsidR="001D2F68" w:rsidRPr="001D2F68">
        <w:rPr>
          <w:bCs/>
        </w:rPr>
        <w:t>This group has been meeting every two weeks</w:t>
      </w:r>
      <w:r>
        <w:rPr>
          <w:bCs/>
        </w:rPr>
        <w:t>,</w:t>
      </w:r>
      <w:r w:rsidR="001D2F68" w:rsidRPr="001D2F68">
        <w:rPr>
          <w:bCs/>
        </w:rPr>
        <w:t xml:space="preserve"> with members</w:t>
      </w:r>
      <w:r>
        <w:rPr>
          <w:bCs/>
        </w:rPr>
        <w:t xml:space="preserve"> of the group</w:t>
      </w:r>
      <w:r w:rsidR="001D2F68" w:rsidRPr="001D2F68">
        <w:rPr>
          <w:bCs/>
        </w:rPr>
        <w:t xml:space="preserve"> and their wider workforces and networks</w:t>
      </w:r>
      <w:r>
        <w:rPr>
          <w:bCs/>
        </w:rPr>
        <w:t xml:space="preserve"> implementing the communications and engagement plan.</w:t>
      </w:r>
    </w:p>
    <w:p w14:paraId="1F72F646" w14:textId="77777777" w:rsidR="0081387B" w:rsidRDefault="0081387B" w:rsidP="00CA50AA">
      <w:pPr>
        <w:jc w:val="both"/>
        <w:rPr>
          <w:bCs/>
          <w:color w:val="FF0000"/>
        </w:rPr>
      </w:pPr>
    </w:p>
    <w:p w14:paraId="106C173B" w14:textId="77777777" w:rsidR="0081387B" w:rsidRDefault="0081387B" w:rsidP="00CA50AA">
      <w:pPr>
        <w:jc w:val="both"/>
        <w:rPr>
          <w:bCs/>
          <w:color w:val="FF0000"/>
        </w:rPr>
      </w:pPr>
      <w:r w:rsidRPr="0051312C">
        <w:rPr>
          <w:bCs/>
        </w:rPr>
        <w:t xml:space="preserve">4.7 </w:t>
      </w:r>
      <w:r w:rsidRPr="0051312C">
        <w:rPr>
          <w:bCs/>
        </w:rPr>
        <w:tab/>
        <w:t>Pathways</w:t>
      </w:r>
      <w:r w:rsidR="00436DF8">
        <w:rPr>
          <w:bCs/>
        </w:rPr>
        <w:t>,</w:t>
      </w:r>
      <w:r w:rsidRPr="0051312C">
        <w:rPr>
          <w:bCs/>
        </w:rPr>
        <w:t xml:space="preserve"> Connections</w:t>
      </w:r>
      <w:r w:rsidR="00436DF8">
        <w:rPr>
          <w:bCs/>
        </w:rPr>
        <w:t xml:space="preserve"> and Technology</w:t>
      </w:r>
      <w:r w:rsidRPr="0051312C">
        <w:rPr>
          <w:bCs/>
        </w:rPr>
        <w:t xml:space="preserve"> </w:t>
      </w:r>
    </w:p>
    <w:p w14:paraId="08CE6F91" w14:textId="77777777" w:rsidR="006A6E8D" w:rsidRDefault="006A6E8D" w:rsidP="00CA50AA">
      <w:pPr>
        <w:jc w:val="both"/>
        <w:rPr>
          <w:bCs/>
          <w:color w:val="FF0000"/>
        </w:rPr>
      </w:pPr>
    </w:p>
    <w:p w14:paraId="6D762816" w14:textId="77777777" w:rsidR="003D0B15" w:rsidRPr="00356438" w:rsidRDefault="00854931" w:rsidP="00AE511F">
      <w:pPr>
        <w:ind w:left="720" w:hanging="720"/>
        <w:jc w:val="both"/>
        <w:rPr>
          <w:bCs/>
        </w:rPr>
      </w:pPr>
      <w:r>
        <w:rPr>
          <w:bCs/>
        </w:rPr>
        <w:t xml:space="preserve">4.7.1 </w:t>
      </w:r>
      <w:r w:rsidR="00AE511F">
        <w:rPr>
          <w:bCs/>
        </w:rPr>
        <w:tab/>
      </w:r>
      <w:r w:rsidR="003D0B15" w:rsidRPr="00356438">
        <w:rPr>
          <w:bCs/>
        </w:rPr>
        <w:t>The Pathways, Connections and Technology workstream met on 3 occasions, and have developed a framework that captures the journey of a person in distress, and their interaction with the Community Wellbeing Centre.  For example:</w:t>
      </w:r>
    </w:p>
    <w:p w14:paraId="61CDCEAD" w14:textId="77777777" w:rsidR="003D0B15" w:rsidRPr="00356438" w:rsidRDefault="003D0B15" w:rsidP="003D0B15">
      <w:pPr>
        <w:jc w:val="both"/>
        <w:rPr>
          <w:bCs/>
        </w:rPr>
      </w:pPr>
    </w:p>
    <w:p w14:paraId="40D3F35E" w14:textId="77777777" w:rsidR="003D0B15" w:rsidRPr="00356438" w:rsidRDefault="003D0B15" w:rsidP="00AE511F">
      <w:pPr>
        <w:ind w:left="1440" w:hanging="720"/>
        <w:jc w:val="both"/>
        <w:rPr>
          <w:bCs/>
        </w:rPr>
      </w:pPr>
      <w:r w:rsidRPr="00356438">
        <w:rPr>
          <w:bCs/>
        </w:rPr>
        <w:t>•</w:t>
      </w:r>
      <w:r w:rsidRPr="00356438">
        <w:rPr>
          <w:bCs/>
        </w:rPr>
        <w:tab/>
        <w:t>Before they arrive at the CWC – how we promote the CWC, how the person makes contact, the range of support needs they may have, potential referral partners (police, OOHs, GPS)</w:t>
      </w:r>
    </w:p>
    <w:p w14:paraId="3CEC2078" w14:textId="77777777" w:rsidR="003D0B15" w:rsidRPr="00356438" w:rsidRDefault="003D0B15" w:rsidP="00AE511F">
      <w:pPr>
        <w:ind w:left="1440" w:hanging="720"/>
        <w:jc w:val="both"/>
        <w:rPr>
          <w:bCs/>
        </w:rPr>
      </w:pPr>
      <w:r w:rsidRPr="00356438">
        <w:rPr>
          <w:bCs/>
        </w:rPr>
        <w:t>•</w:t>
      </w:r>
      <w:r w:rsidRPr="00356438">
        <w:rPr>
          <w:bCs/>
        </w:rPr>
        <w:tab/>
        <w:t>When they are at the CWC – the triage assessment, the resources required, the roles for staff, peer workers and volunteers, and the considerations around record keeping and information sharing protocols.</w:t>
      </w:r>
    </w:p>
    <w:p w14:paraId="6BB9E253" w14:textId="77777777" w:rsidR="003D0B15" w:rsidRPr="00356438" w:rsidRDefault="003D0B15" w:rsidP="003D0B15">
      <w:pPr>
        <w:ind w:left="720" w:hanging="720"/>
        <w:jc w:val="both"/>
        <w:rPr>
          <w:bCs/>
        </w:rPr>
      </w:pPr>
    </w:p>
    <w:p w14:paraId="5C7E950D" w14:textId="77777777" w:rsidR="003D0B15" w:rsidRPr="00356438" w:rsidRDefault="003D0B15" w:rsidP="00AE511F">
      <w:pPr>
        <w:ind w:left="1440" w:hanging="720"/>
        <w:jc w:val="both"/>
        <w:rPr>
          <w:bCs/>
        </w:rPr>
      </w:pPr>
      <w:r w:rsidRPr="00356438">
        <w:rPr>
          <w:bCs/>
        </w:rPr>
        <w:t>•</w:t>
      </w:r>
      <w:r w:rsidRPr="00356438">
        <w:rPr>
          <w:bCs/>
        </w:rPr>
        <w:tab/>
        <w:t>After they leave the CWC – onward and supported referral to other organisations for social support, or to the NHS for medical assessment or admission, transfer to an accommodation base where required, and systems for follow up and aftercare.</w:t>
      </w:r>
    </w:p>
    <w:p w14:paraId="5C696D07" w14:textId="77777777" w:rsidR="003D0B15" w:rsidRPr="00356438" w:rsidRDefault="003D0B15" w:rsidP="00AE511F">
      <w:pPr>
        <w:ind w:left="1440"/>
        <w:jc w:val="both"/>
        <w:rPr>
          <w:bCs/>
        </w:rPr>
      </w:pPr>
      <w:r w:rsidRPr="00356438">
        <w:rPr>
          <w:bCs/>
        </w:rPr>
        <w:t>Further discussions are still to take place around topics that overlap with other ongoing work, for example, technology and communications, referral protocols for NHS, Police and ambulance services, and identifying the organisations across the city that can support the work of the CWC.</w:t>
      </w:r>
    </w:p>
    <w:p w14:paraId="23DE523C" w14:textId="77777777" w:rsidR="006A6E8D" w:rsidRPr="00356438" w:rsidRDefault="006A6E8D" w:rsidP="00CA50AA">
      <w:pPr>
        <w:jc w:val="both"/>
        <w:rPr>
          <w:bCs/>
        </w:rPr>
      </w:pPr>
    </w:p>
    <w:p w14:paraId="741EC555" w14:textId="77777777" w:rsidR="00580923" w:rsidRPr="00580923" w:rsidRDefault="0081387B" w:rsidP="00AE511F">
      <w:pPr>
        <w:ind w:left="720" w:hanging="720"/>
        <w:jc w:val="both"/>
        <w:rPr>
          <w:bCs/>
        </w:rPr>
      </w:pPr>
      <w:r w:rsidRPr="0051312C">
        <w:rPr>
          <w:bCs/>
        </w:rPr>
        <w:t>4.8</w:t>
      </w:r>
      <w:r w:rsidR="009F2BAF">
        <w:rPr>
          <w:bCs/>
        </w:rPr>
        <w:t>.1</w:t>
      </w:r>
      <w:r w:rsidRPr="0051312C">
        <w:rPr>
          <w:bCs/>
        </w:rPr>
        <w:tab/>
      </w:r>
      <w:r w:rsidR="009F2BAF">
        <w:rPr>
          <w:bCs/>
        </w:rPr>
        <w:t xml:space="preserve">A Tayside </w:t>
      </w:r>
      <w:r w:rsidR="00580923" w:rsidRPr="00580923">
        <w:rPr>
          <w:bCs/>
        </w:rPr>
        <w:t xml:space="preserve">Crisis and Urgent Care Workstream continues.  The five elements of the work are progressing at different rates which is understandable as each has a different set of interdependencies.  However, acute staffing shortages in current crisis provision is also impact on people's ability to contribute to the work and mean that some elements of change are being accelerated.  The sub stream on Urgent referrals (which impacts only on Dundee) is complete other than final agreement about </w:t>
      </w:r>
      <w:r w:rsidR="009F2BAF">
        <w:rPr>
          <w:bCs/>
        </w:rPr>
        <w:t>transfer of staffing resources</w:t>
      </w:r>
      <w:r w:rsidR="00580923" w:rsidRPr="00580923">
        <w:rPr>
          <w:bCs/>
        </w:rPr>
        <w:t>.  This function, which sees Dundee C</w:t>
      </w:r>
      <w:r w:rsidR="00FD125F">
        <w:rPr>
          <w:bCs/>
        </w:rPr>
        <w:t xml:space="preserve">ommunity </w:t>
      </w:r>
      <w:r w:rsidR="00580923" w:rsidRPr="00580923">
        <w:rPr>
          <w:bCs/>
        </w:rPr>
        <w:t>M</w:t>
      </w:r>
      <w:r w:rsidR="00FD125F">
        <w:rPr>
          <w:bCs/>
        </w:rPr>
        <w:t xml:space="preserve">ental </w:t>
      </w:r>
      <w:r w:rsidR="00580923" w:rsidRPr="00580923">
        <w:rPr>
          <w:bCs/>
        </w:rPr>
        <w:t>H</w:t>
      </w:r>
      <w:r w:rsidR="00FD125F">
        <w:rPr>
          <w:bCs/>
        </w:rPr>
        <w:t xml:space="preserve">ealth </w:t>
      </w:r>
      <w:r w:rsidR="00580923" w:rsidRPr="00580923">
        <w:rPr>
          <w:bCs/>
        </w:rPr>
        <w:t>T</w:t>
      </w:r>
      <w:r w:rsidR="00FD125F">
        <w:rPr>
          <w:bCs/>
        </w:rPr>
        <w:t>eams</w:t>
      </w:r>
      <w:r w:rsidR="00580923" w:rsidRPr="00580923">
        <w:rPr>
          <w:bCs/>
        </w:rPr>
        <w:t xml:space="preserve"> manage urgent referrals instead of C</w:t>
      </w:r>
      <w:r w:rsidR="00FD125F">
        <w:rPr>
          <w:bCs/>
        </w:rPr>
        <w:t xml:space="preserve">risis </w:t>
      </w:r>
      <w:r w:rsidR="00580923" w:rsidRPr="00580923">
        <w:rPr>
          <w:bCs/>
        </w:rPr>
        <w:t>R</w:t>
      </w:r>
      <w:r w:rsidR="00FD125F">
        <w:rPr>
          <w:bCs/>
        </w:rPr>
        <w:t xml:space="preserve">esolution </w:t>
      </w:r>
      <w:r w:rsidR="00580923" w:rsidRPr="00580923">
        <w:rPr>
          <w:bCs/>
        </w:rPr>
        <w:t>H</w:t>
      </w:r>
      <w:r w:rsidR="00FD125F">
        <w:rPr>
          <w:bCs/>
        </w:rPr>
        <w:t xml:space="preserve">ome </w:t>
      </w:r>
      <w:r w:rsidR="00580923" w:rsidRPr="00580923">
        <w:rPr>
          <w:bCs/>
        </w:rPr>
        <w:t>T</w:t>
      </w:r>
      <w:r w:rsidR="00FD125F">
        <w:rPr>
          <w:bCs/>
        </w:rPr>
        <w:t xml:space="preserve">reatment </w:t>
      </w:r>
      <w:r w:rsidR="00580923" w:rsidRPr="00580923">
        <w:rPr>
          <w:bCs/>
        </w:rPr>
        <w:t>T</w:t>
      </w:r>
      <w:r w:rsidR="00FD125F">
        <w:rPr>
          <w:bCs/>
        </w:rPr>
        <w:t>eam</w:t>
      </w:r>
      <w:r w:rsidR="00580923" w:rsidRPr="00580923">
        <w:rPr>
          <w:bCs/>
        </w:rPr>
        <w:t xml:space="preserve"> will be implemented by the beginning of August.  The sub Workstream on Community Wellbeing Centres has completed its core work (defining the core functions any CWC must provide) and this </w:t>
      </w:r>
      <w:r w:rsidR="00A05B41">
        <w:rPr>
          <w:bCs/>
        </w:rPr>
        <w:t xml:space="preserve">has been </w:t>
      </w:r>
      <w:r w:rsidR="00580923" w:rsidRPr="00580923">
        <w:rPr>
          <w:bCs/>
        </w:rPr>
        <w:t xml:space="preserve">shared with those leading the Dundee implementation of our CWC.  The sub work streams on Intensive Home treatment, emergency mental health assessment and evaluation continue to meet.  </w:t>
      </w:r>
      <w:r w:rsidR="00580923">
        <w:rPr>
          <w:bCs/>
        </w:rPr>
        <w:t>I</w:t>
      </w:r>
      <w:r w:rsidR="00580923" w:rsidRPr="00580923">
        <w:rPr>
          <w:bCs/>
        </w:rPr>
        <w:t>mportantly, there are no interdependencies that will slow the development of the Dundee CWC; only the interfaces may be different and change over time.</w:t>
      </w:r>
    </w:p>
    <w:p w14:paraId="52E56223" w14:textId="77777777" w:rsidR="0081387B" w:rsidRPr="00580923" w:rsidRDefault="0081387B" w:rsidP="00CA50AA">
      <w:pPr>
        <w:jc w:val="both"/>
        <w:rPr>
          <w:bCs/>
        </w:rPr>
      </w:pPr>
    </w:p>
    <w:p w14:paraId="0D4E95B6" w14:textId="77777777" w:rsidR="0081387B" w:rsidRPr="0081387B" w:rsidRDefault="0081387B" w:rsidP="00AE511F">
      <w:pPr>
        <w:ind w:left="720" w:hanging="720"/>
        <w:jc w:val="both"/>
        <w:rPr>
          <w:bCs/>
          <w:color w:val="FF0000"/>
        </w:rPr>
      </w:pPr>
      <w:r w:rsidRPr="0051312C">
        <w:rPr>
          <w:bCs/>
        </w:rPr>
        <w:t xml:space="preserve">4.9 </w:t>
      </w:r>
      <w:r w:rsidRPr="0051312C">
        <w:rPr>
          <w:bCs/>
        </w:rPr>
        <w:tab/>
      </w:r>
      <w:r w:rsidR="00CF012E">
        <w:rPr>
          <w:bCs/>
        </w:rPr>
        <w:t xml:space="preserve">A target date for completion was previously reported to the IJB as August 2022.  Given the </w:t>
      </w:r>
      <w:r w:rsidR="000E2059">
        <w:rPr>
          <w:bCs/>
        </w:rPr>
        <w:t xml:space="preserve">unavoidable </w:t>
      </w:r>
      <w:r w:rsidR="00CF012E">
        <w:rPr>
          <w:bCs/>
        </w:rPr>
        <w:t xml:space="preserve">delays </w:t>
      </w:r>
      <w:r w:rsidR="000E2059">
        <w:rPr>
          <w:bCs/>
        </w:rPr>
        <w:t xml:space="preserve">in the building work, and the timescale for the tender as outlined within section 4.5.3 of this report, a revised target date for the building works to be completed is the end of December 2022.  By that </w:t>
      </w:r>
      <w:proofErr w:type="gramStart"/>
      <w:r w:rsidR="000E2059">
        <w:rPr>
          <w:bCs/>
        </w:rPr>
        <w:t>time</w:t>
      </w:r>
      <w:proofErr w:type="gramEnd"/>
      <w:r w:rsidR="000E2059">
        <w:rPr>
          <w:bCs/>
        </w:rPr>
        <w:t xml:space="preserve"> it is anticipated that recruitment for staff will be well underway and that implementation can progress. </w:t>
      </w:r>
    </w:p>
    <w:p w14:paraId="07547A01" w14:textId="77777777" w:rsidR="00BD567F" w:rsidRPr="007210BE" w:rsidRDefault="00BD567F" w:rsidP="00CA50AA">
      <w:pPr>
        <w:jc w:val="both"/>
        <w:rPr>
          <w:b/>
          <w:bCs/>
        </w:rPr>
      </w:pPr>
    </w:p>
    <w:p w14:paraId="5043CB0F" w14:textId="77777777" w:rsidR="000657F8" w:rsidRPr="007210BE" w:rsidRDefault="000657F8" w:rsidP="00CA50AA">
      <w:pPr>
        <w:jc w:val="both"/>
      </w:pPr>
    </w:p>
    <w:p w14:paraId="4D74FF1B" w14:textId="77777777" w:rsidR="00CF69AA" w:rsidRPr="007210BE" w:rsidRDefault="00CF69AA" w:rsidP="00CA50AA">
      <w:pPr>
        <w:jc w:val="both"/>
        <w:rPr>
          <w:b/>
        </w:rPr>
      </w:pPr>
      <w:r w:rsidRPr="007210BE">
        <w:rPr>
          <w:b/>
        </w:rPr>
        <w:t>5.0</w:t>
      </w:r>
      <w:r w:rsidRPr="007210BE">
        <w:rPr>
          <w:b/>
        </w:rPr>
        <w:tab/>
        <w:t>POLICY IMPLICATIONS</w:t>
      </w:r>
    </w:p>
    <w:p w14:paraId="07459315" w14:textId="77777777" w:rsidR="00CF69AA" w:rsidRPr="007210BE" w:rsidRDefault="00CF69AA" w:rsidP="00CA50AA">
      <w:pPr>
        <w:jc w:val="both"/>
      </w:pPr>
    </w:p>
    <w:p w14:paraId="3089004E" w14:textId="77777777" w:rsidR="00CF69AA" w:rsidRPr="007210BE" w:rsidRDefault="00423952" w:rsidP="00423952">
      <w:pPr>
        <w:ind w:left="720" w:hanging="720"/>
        <w:jc w:val="both"/>
        <w:rPr>
          <w:b/>
        </w:rPr>
      </w:pPr>
      <w:r w:rsidRPr="007210BE">
        <w:t>5.1</w:t>
      </w:r>
      <w:r w:rsidRPr="007210BE">
        <w:tab/>
      </w:r>
      <w:r w:rsidR="00CF69AA" w:rsidRPr="007210BE">
        <w:t>This report has been screened for any policy implications in respect of Equality Impact Assessment.  There are no major issue</w:t>
      </w:r>
      <w:r w:rsidR="000657F8" w:rsidRPr="007210BE">
        <w:t>s</w:t>
      </w:r>
      <w:r w:rsidRPr="007210BE">
        <w:t>.</w:t>
      </w:r>
    </w:p>
    <w:p w14:paraId="6537F28F" w14:textId="77777777" w:rsidR="003560C0" w:rsidRPr="007210BE" w:rsidRDefault="003560C0" w:rsidP="00DC1EF6">
      <w:pPr>
        <w:jc w:val="both"/>
      </w:pPr>
    </w:p>
    <w:p w14:paraId="0890CF3E" w14:textId="183A3DC3" w:rsidR="61F799B9" w:rsidRDefault="61F799B9" w:rsidP="61F799B9">
      <w:pPr>
        <w:rPr>
          <w:rFonts w:cs="Arial"/>
          <w:b/>
          <w:bCs/>
        </w:rPr>
      </w:pPr>
    </w:p>
    <w:p w14:paraId="4FAC867D" w14:textId="77777777" w:rsidR="003F3AEF" w:rsidRPr="007210BE" w:rsidRDefault="003560C0" w:rsidP="003560C0">
      <w:pPr>
        <w:rPr>
          <w:rFonts w:cs="Arial"/>
          <w:b/>
        </w:rPr>
      </w:pPr>
      <w:r w:rsidRPr="007210BE">
        <w:rPr>
          <w:rFonts w:cs="Arial"/>
          <w:b/>
        </w:rPr>
        <w:t>6.0</w:t>
      </w:r>
      <w:r w:rsidRPr="007210BE">
        <w:rPr>
          <w:rFonts w:cs="Arial"/>
          <w:b/>
        </w:rPr>
        <w:tab/>
        <w:t>RISK ASSESSMENT</w:t>
      </w:r>
    </w:p>
    <w:p w14:paraId="6DFB9E20" w14:textId="77777777" w:rsidR="003F3AEF" w:rsidRPr="007210BE" w:rsidRDefault="003F3AEF" w:rsidP="003F3AEF">
      <w:pPr>
        <w:jc w:val="both"/>
      </w:pPr>
    </w:p>
    <w:tbl>
      <w:tblPr>
        <w:tblStyle w:val="TableGrid"/>
        <w:tblW w:w="0" w:type="auto"/>
        <w:tblLook w:val="04A0" w:firstRow="1" w:lastRow="0" w:firstColumn="1" w:lastColumn="0" w:noHBand="0" w:noVBand="1"/>
      </w:tblPr>
      <w:tblGrid>
        <w:gridCol w:w="2122"/>
        <w:gridCol w:w="6894"/>
      </w:tblGrid>
      <w:tr w:rsidR="007210BE" w:rsidRPr="007210BE" w14:paraId="4DA306A9" w14:textId="77777777" w:rsidTr="006823D0">
        <w:tc>
          <w:tcPr>
            <w:tcW w:w="2122" w:type="dxa"/>
          </w:tcPr>
          <w:p w14:paraId="70DF9E56" w14:textId="77777777" w:rsidR="003560C0" w:rsidRPr="007210BE" w:rsidRDefault="003560C0" w:rsidP="006823D0">
            <w:pPr>
              <w:rPr>
                <w:rFonts w:cs="Arial"/>
                <w:b/>
              </w:rPr>
            </w:pPr>
          </w:p>
          <w:p w14:paraId="6BA74390" w14:textId="77777777" w:rsidR="003560C0" w:rsidRPr="007210BE" w:rsidRDefault="003560C0" w:rsidP="006823D0">
            <w:pPr>
              <w:rPr>
                <w:rFonts w:cs="Arial"/>
                <w:b/>
              </w:rPr>
            </w:pPr>
            <w:r w:rsidRPr="007210BE">
              <w:rPr>
                <w:rFonts w:cs="Arial"/>
                <w:b/>
              </w:rPr>
              <w:t>Risk 1</w:t>
            </w:r>
          </w:p>
          <w:p w14:paraId="31FF54C8" w14:textId="77777777" w:rsidR="003560C0" w:rsidRPr="007210BE" w:rsidRDefault="003560C0" w:rsidP="006823D0">
            <w:pPr>
              <w:rPr>
                <w:rFonts w:cs="Arial"/>
                <w:b/>
              </w:rPr>
            </w:pPr>
            <w:r w:rsidRPr="007210BE">
              <w:rPr>
                <w:rFonts w:cs="Arial"/>
                <w:b/>
              </w:rPr>
              <w:t>Description</w:t>
            </w:r>
          </w:p>
        </w:tc>
        <w:tc>
          <w:tcPr>
            <w:tcW w:w="6894" w:type="dxa"/>
          </w:tcPr>
          <w:p w14:paraId="70084FFE" w14:textId="77777777" w:rsidR="003560C0" w:rsidRDefault="00AE511F" w:rsidP="00A7595E">
            <w:pPr>
              <w:rPr>
                <w:rFonts w:cs="Arial"/>
                <w:lang w:val="en"/>
              </w:rPr>
            </w:pPr>
            <w:r>
              <w:rPr>
                <w:rFonts w:cs="Arial"/>
                <w:lang w:val="en"/>
              </w:rPr>
              <w:t>Evidence demonstrates that the ability to predict completed suicide, even where assessment is undertaken by skilled professionals, is limited.  There is a risk that the development of an “always open” Community Wellbeing Centre (CWC) and associated supports does not result in a demonstrable reduction in the number of people engaging in serious or fatal self-harm.</w:t>
            </w:r>
          </w:p>
          <w:p w14:paraId="44E871BC" w14:textId="77777777" w:rsidR="00AE511F" w:rsidRPr="007210BE" w:rsidRDefault="00AE511F" w:rsidP="00A7595E">
            <w:pPr>
              <w:rPr>
                <w:rFonts w:cs="Arial"/>
                <w:lang w:val="en"/>
              </w:rPr>
            </w:pPr>
          </w:p>
        </w:tc>
      </w:tr>
      <w:tr w:rsidR="007210BE" w:rsidRPr="007210BE" w14:paraId="3FEDCE2E" w14:textId="77777777" w:rsidTr="006823D0">
        <w:tc>
          <w:tcPr>
            <w:tcW w:w="2122" w:type="dxa"/>
          </w:tcPr>
          <w:p w14:paraId="60D69639" w14:textId="77777777" w:rsidR="003560C0" w:rsidRPr="007210BE" w:rsidRDefault="003560C0" w:rsidP="006823D0">
            <w:pPr>
              <w:rPr>
                <w:rFonts w:cs="Arial"/>
                <w:b/>
              </w:rPr>
            </w:pPr>
            <w:r w:rsidRPr="007210BE">
              <w:rPr>
                <w:rFonts w:cs="Arial"/>
                <w:b/>
              </w:rPr>
              <w:t>Risk Category</w:t>
            </w:r>
          </w:p>
        </w:tc>
        <w:tc>
          <w:tcPr>
            <w:tcW w:w="6894" w:type="dxa"/>
          </w:tcPr>
          <w:p w14:paraId="0890B5C9" w14:textId="77777777" w:rsidR="003560C0" w:rsidRDefault="00AE511F" w:rsidP="003560C0">
            <w:pPr>
              <w:rPr>
                <w:rFonts w:cs="Arial"/>
                <w:lang w:val="en"/>
              </w:rPr>
            </w:pPr>
            <w:r>
              <w:rPr>
                <w:rFonts w:cs="Arial"/>
                <w:lang w:val="en"/>
              </w:rPr>
              <w:t>Reputational</w:t>
            </w:r>
          </w:p>
          <w:p w14:paraId="144A5D23" w14:textId="77777777" w:rsidR="00AE511F" w:rsidRPr="007210BE" w:rsidRDefault="00AE511F" w:rsidP="003560C0">
            <w:pPr>
              <w:rPr>
                <w:rFonts w:cs="Arial"/>
                <w:lang w:val="en"/>
              </w:rPr>
            </w:pPr>
          </w:p>
        </w:tc>
      </w:tr>
      <w:tr w:rsidR="007210BE" w:rsidRPr="007210BE" w14:paraId="6564ED9B" w14:textId="77777777" w:rsidTr="006823D0">
        <w:tc>
          <w:tcPr>
            <w:tcW w:w="2122" w:type="dxa"/>
          </w:tcPr>
          <w:p w14:paraId="4041D6F7" w14:textId="77777777" w:rsidR="003560C0" w:rsidRPr="007210BE" w:rsidRDefault="003560C0" w:rsidP="006823D0">
            <w:pPr>
              <w:rPr>
                <w:rFonts w:cs="Arial"/>
                <w:b/>
                <w:lang w:val="en"/>
              </w:rPr>
            </w:pPr>
            <w:r w:rsidRPr="007210BE">
              <w:rPr>
                <w:rFonts w:cs="Arial"/>
                <w:b/>
              </w:rPr>
              <w:lastRenderedPageBreak/>
              <w:t xml:space="preserve">Inherent Risk Level </w:t>
            </w:r>
          </w:p>
        </w:tc>
        <w:tc>
          <w:tcPr>
            <w:tcW w:w="6894" w:type="dxa"/>
          </w:tcPr>
          <w:p w14:paraId="4F0A8458" w14:textId="77777777" w:rsidR="00075544" w:rsidRDefault="006E20CB" w:rsidP="006E20CB">
            <w:pPr>
              <w:rPr>
                <w:rFonts w:cs="Arial"/>
                <w:lang w:val="en"/>
              </w:rPr>
            </w:pPr>
            <w:r w:rsidRPr="007210BE">
              <w:rPr>
                <w:rFonts w:cs="Arial"/>
                <w:lang w:val="en"/>
              </w:rPr>
              <w:t xml:space="preserve">Likelihood </w:t>
            </w:r>
            <w:r w:rsidR="00AE511F">
              <w:rPr>
                <w:rFonts w:cs="Arial"/>
                <w:lang w:val="en"/>
              </w:rPr>
              <w:t>(3)</w:t>
            </w:r>
            <w:r w:rsidRPr="007210BE">
              <w:rPr>
                <w:rFonts w:cs="Arial"/>
                <w:lang w:val="en"/>
              </w:rPr>
              <w:t xml:space="preserve"> x Impact (</w:t>
            </w:r>
            <w:r w:rsidR="00AE511F">
              <w:rPr>
                <w:rFonts w:cs="Arial"/>
                <w:lang w:val="en"/>
              </w:rPr>
              <w:t>3</w:t>
            </w:r>
            <w:r w:rsidRPr="007210BE">
              <w:rPr>
                <w:rFonts w:cs="Arial"/>
                <w:lang w:val="en"/>
              </w:rPr>
              <w:t>) = Risk Scoring (</w:t>
            </w:r>
            <w:r w:rsidR="00AE511F">
              <w:rPr>
                <w:rFonts w:cs="Arial"/>
                <w:lang w:val="en"/>
              </w:rPr>
              <w:t>9</w:t>
            </w:r>
            <w:r w:rsidRPr="007210BE">
              <w:rPr>
                <w:rFonts w:cs="Arial"/>
                <w:lang w:val="en"/>
              </w:rPr>
              <w:t>)</w:t>
            </w:r>
          </w:p>
          <w:p w14:paraId="738610EB" w14:textId="77777777" w:rsidR="00AE511F" w:rsidRPr="007210BE" w:rsidRDefault="00AE511F" w:rsidP="006E20CB">
            <w:pPr>
              <w:rPr>
                <w:rFonts w:cs="Arial"/>
                <w:lang w:val="en"/>
              </w:rPr>
            </w:pPr>
          </w:p>
        </w:tc>
      </w:tr>
      <w:tr w:rsidR="007210BE" w:rsidRPr="007210BE" w14:paraId="1C35B719" w14:textId="77777777" w:rsidTr="006823D0">
        <w:tc>
          <w:tcPr>
            <w:tcW w:w="2122" w:type="dxa"/>
          </w:tcPr>
          <w:p w14:paraId="64C3BF1F" w14:textId="77777777" w:rsidR="003560C0" w:rsidRPr="007210BE" w:rsidRDefault="003560C0" w:rsidP="006823D0">
            <w:pPr>
              <w:rPr>
                <w:rFonts w:cs="Arial"/>
              </w:rPr>
            </w:pPr>
            <w:r w:rsidRPr="007210BE">
              <w:rPr>
                <w:rFonts w:cs="Arial"/>
                <w:b/>
              </w:rPr>
              <w:t>Mitigating Actions</w:t>
            </w:r>
            <w:r w:rsidRPr="007210BE">
              <w:rPr>
                <w:rFonts w:cs="Arial"/>
              </w:rPr>
              <w:t xml:space="preserve"> (including timescales and resources)</w:t>
            </w:r>
          </w:p>
        </w:tc>
        <w:tc>
          <w:tcPr>
            <w:tcW w:w="6894" w:type="dxa"/>
          </w:tcPr>
          <w:p w14:paraId="6110D0B5" w14:textId="77777777" w:rsidR="003560C0" w:rsidRDefault="00AE511F" w:rsidP="00A7595E">
            <w:pPr>
              <w:rPr>
                <w:rFonts w:cs="Arial"/>
                <w:lang w:val="en"/>
              </w:rPr>
            </w:pPr>
            <w:r>
              <w:rPr>
                <w:rFonts w:cs="Arial"/>
                <w:lang w:val="en"/>
              </w:rPr>
              <w:t>Models of best practice from elsewhere have been considered in developing the model of care; levels of care can be stepped up where necessary; the provision of brief interventions (or equivalent) should assist people in addressing some of the core psycho-social factors fueling their distress</w:t>
            </w:r>
          </w:p>
          <w:p w14:paraId="637805D2" w14:textId="77777777" w:rsidR="00AE511F" w:rsidRPr="007210BE" w:rsidRDefault="00AE511F" w:rsidP="00A7595E">
            <w:pPr>
              <w:rPr>
                <w:rFonts w:cs="Arial"/>
                <w:lang w:val="en"/>
              </w:rPr>
            </w:pPr>
          </w:p>
        </w:tc>
      </w:tr>
      <w:tr w:rsidR="007210BE" w:rsidRPr="007210BE" w14:paraId="4DCAEA41" w14:textId="77777777" w:rsidTr="006823D0">
        <w:tc>
          <w:tcPr>
            <w:tcW w:w="2122" w:type="dxa"/>
          </w:tcPr>
          <w:p w14:paraId="3092970E" w14:textId="77777777" w:rsidR="003560C0" w:rsidRPr="007210BE" w:rsidRDefault="003560C0" w:rsidP="006823D0">
            <w:pPr>
              <w:jc w:val="center"/>
              <w:rPr>
                <w:rFonts w:cs="Arial"/>
                <w:b/>
              </w:rPr>
            </w:pPr>
            <w:r w:rsidRPr="007210BE">
              <w:rPr>
                <w:rFonts w:cs="Arial"/>
                <w:b/>
              </w:rPr>
              <w:t>Residual Risk Level</w:t>
            </w:r>
          </w:p>
        </w:tc>
        <w:tc>
          <w:tcPr>
            <w:tcW w:w="6894" w:type="dxa"/>
          </w:tcPr>
          <w:p w14:paraId="00601141" w14:textId="77777777" w:rsidR="003560C0" w:rsidRDefault="006E20CB" w:rsidP="006E20CB">
            <w:pPr>
              <w:rPr>
                <w:rFonts w:cs="Arial"/>
              </w:rPr>
            </w:pPr>
            <w:r w:rsidRPr="007210BE">
              <w:rPr>
                <w:rFonts w:cs="Arial"/>
              </w:rPr>
              <w:t>Likelihood (</w:t>
            </w:r>
            <w:r w:rsidR="00AE511F">
              <w:rPr>
                <w:rFonts w:cs="Arial"/>
              </w:rPr>
              <w:t>3</w:t>
            </w:r>
            <w:r w:rsidRPr="007210BE">
              <w:rPr>
                <w:rFonts w:cs="Arial"/>
              </w:rPr>
              <w:t>) x Impact (</w:t>
            </w:r>
            <w:r w:rsidR="00AE511F">
              <w:rPr>
                <w:rFonts w:cs="Arial"/>
              </w:rPr>
              <w:t>1</w:t>
            </w:r>
            <w:r w:rsidRPr="007210BE">
              <w:rPr>
                <w:rFonts w:cs="Arial"/>
              </w:rPr>
              <w:t xml:space="preserve">) = Risk Scoring </w:t>
            </w:r>
            <w:r w:rsidR="00AE511F">
              <w:rPr>
                <w:rFonts w:cs="Arial"/>
              </w:rPr>
              <w:t>3</w:t>
            </w:r>
          </w:p>
          <w:p w14:paraId="463F29E8" w14:textId="77777777" w:rsidR="00AE511F" w:rsidRPr="007210BE" w:rsidRDefault="00AE511F" w:rsidP="006E20CB">
            <w:pPr>
              <w:rPr>
                <w:rFonts w:cs="Arial"/>
              </w:rPr>
            </w:pPr>
          </w:p>
        </w:tc>
      </w:tr>
      <w:tr w:rsidR="007210BE" w:rsidRPr="007210BE" w14:paraId="243B5764" w14:textId="77777777" w:rsidTr="006823D0">
        <w:tc>
          <w:tcPr>
            <w:tcW w:w="2122" w:type="dxa"/>
          </w:tcPr>
          <w:p w14:paraId="03386C01" w14:textId="77777777" w:rsidR="003560C0" w:rsidRPr="007210BE" w:rsidRDefault="003560C0" w:rsidP="006823D0">
            <w:pPr>
              <w:jc w:val="center"/>
              <w:rPr>
                <w:rFonts w:cs="Arial"/>
                <w:b/>
                <w:lang w:val="en"/>
              </w:rPr>
            </w:pPr>
            <w:r w:rsidRPr="007210BE">
              <w:rPr>
                <w:rFonts w:cs="Arial"/>
                <w:b/>
              </w:rPr>
              <w:t>Planned Risk Level</w:t>
            </w:r>
          </w:p>
        </w:tc>
        <w:tc>
          <w:tcPr>
            <w:tcW w:w="6894" w:type="dxa"/>
          </w:tcPr>
          <w:p w14:paraId="333F4C2E" w14:textId="77777777" w:rsidR="003560C0" w:rsidRDefault="006E20CB" w:rsidP="006E20CB">
            <w:pPr>
              <w:rPr>
                <w:rFonts w:cs="Arial"/>
                <w:lang w:val="en"/>
              </w:rPr>
            </w:pPr>
            <w:r w:rsidRPr="007210BE">
              <w:rPr>
                <w:rFonts w:cs="Arial"/>
                <w:lang w:val="en"/>
              </w:rPr>
              <w:t>Likelihood (</w:t>
            </w:r>
            <w:r w:rsidR="00AE511F">
              <w:rPr>
                <w:rFonts w:cs="Arial"/>
                <w:lang w:val="en"/>
              </w:rPr>
              <w:t>3</w:t>
            </w:r>
            <w:r w:rsidRPr="007210BE">
              <w:rPr>
                <w:rFonts w:cs="Arial"/>
                <w:lang w:val="en"/>
              </w:rPr>
              <w:t>) x Impact (</w:t>
            </w:r>
            <w:r w:rsidR="00AE511F">
              <w:rPr>
                <w:rFonts w:cs="Arial"/>
                <w:lang w:val="en"/>
              </w:rPr>
              <w:t>1</w:t>
            </w:r>
            <w:r w:rsidRPr="007210BE">
              <w:rPr>
                <w:rFonts w:cs="Arial"/>
                <w:lang w:val="en"/>
              </w:rPr>
              <w:t>) = Risk Scoring (</w:t>
            </w:r>
            <w:r w:rsidR="00AE511F">
              <w:rPr>
                <w:rFonts w:cs="Arial"/>
                <w:lang w:val="en"/>
              </w:rPr>
              <w:t>3</w:t>
            </w:r>
            <w:r w:rsidRPr="007210BE">
              <w:rPr>
                <w:rFonts w:cs="Arial"/>
                <w:lang w:val="en"/>
              </w:rPr>
              <w:t>)</w:t>
            </w:r>
          </w:p>
          <w:p w14:paraId="3B7B4B86" w14:textId="77777777" w:rsidR="00AE511F" w:rsidRPr="007210BE" w:rsidRDefault="00AE511F" w:rsidP="006E20CB">
            <w:pPr>
              <w:rPr>
                <w:rFonts w:cs="Arial"/>
                <w:lang w:val="en"/>
              </w:rPr>
            </w:pPr>
          </w:p>
        </w:tc>
      </w:tr>
      <w:tr w:rsidR="003560C0" w:rsidRPr="007210BE" w14:paraId="68CE11CB" w14:textId="77777777" w:rsidTr="006823D0">
        <w:trPr>
          <w:trHeight w:val="276"/>
        </w:trPr>
        <w:tc>
          <w:tcPr>
            <w:tcW w:w="2122" w:type="dxa"/>
          </w:tcPr>
          <w:p w14:paraId="0C310DB9" w14:textId="77777777" w:rsidR="003560C0" w:rsidRPr="007210BE" w:rsidRDefault="003560C0" w:rsidP="006823D0">
            <w:pPr>
              <w:rPr>
                <w:rFonts w:cs="Arial"/>
                <w:b/>
              </w:rPr>
            </w:pPr>
            <w:r w:rsidRPr="007210BE">
              <w:rPr>
                <w:rFonts w:cs="Arial"/>
                <w:b/>
              </w:rPr>
              <w:t>Approval recommendation</w:t>
            </w:r>
          </w:p>
        </w:tc>
        <w:tc>
          <w:tcPr>
            <w:tcW w:w="6894" w:type="dxa"/>
          </w:tcPr>
          <w:p w14:paraId="5F6F74C7" w14:textId="77777777" w:rsidR="003560C0" w:rsidRPr="007210BE" w:rsidRDefault="0034309D" w:rsidP="003560C0">
            <w:pPr>
              <w:rPr>
                <w:rFonts w:cs="Arial"/>
                <w:lang w:val="en"/>
              </w:rPr>
            </w:pPr>
            <w:r w:rsidRPr="007210BE">
              <w:rPr>
                <w:rFonts w:cs="Arial"/>
                <w:lang w:val="en"/>
              </w:rPr>
              <w:t>That t</w:t>
            </w:r>
            <w:r w:rsidR="006E20CB" w:rsidRPr="007210BE">
              <w:rPr>
                <w:rFonts w:cs="Arial"/>
                <w:lang w:val="en"/>
              </w:rPr>
              <w:t>he risk should be accepted.</w:t>
            </w:r>
          </w:p>
        </w:tc>
      </w:tr>
    </w:tbl>
    <w:p w14:paraId="3A0FF5F2" w14:textId="77777777" w:rsidR="00423952" w:rsidRPr="007210BE" w:rsidRDefault="00423952" w:rsidP="003F3AEF">
      <w:pPr>
        <w:jc w:val="both"/>
      </w:pPr>
    </w:p>
    <w:p w14:paraId="5630AD66" w14:textId="77777777" w:rsidR="00423952" w:rsidRPr="007210BE" w:rsidRDefault="00423952" w:rsidP="003F3AEF">
      <w:pPr>
        <w:jc w:val="both"/>
      </w:pPr>
    </w:p>
    <w:p w14:paraId="6881F615" w14:textId="7929E0EE" w:rsidR="00CF69AA" w:rsidRPr="007210BE" w:rsidRDefault="00D47066" w:rsidP="61F799B9">
      <w:pPr>
        <w:jc w:val="both"/>
        <w:rPr>
          <w:b/>
          <w:bCs/>
        </w:rPr>
      </w:pPr>
      <w:r w:rsidRPr="61F799B9">
        <w:rPr>
          <w:b/>
          <w:bCs/>
        </w:rPr>
        <w:t>7</w:t>
      </w:r>
      <w:r w:rsidR="00CF69AA" w:rsidRPr="61F799B9">
        <w:rPr>
          <w:b/>
          <w:bCs/>
        </w:rPr>
        <w:t>.0</w:t>
      </w:r>
      <w:r>
        <w:tab/>
      </w:r>
      <w:r w:rsidR="00CF69AA" w:rsidRPr="61F799B9">
        <w:rPr>
          <w:b/>
          <w:bCs/>
        </w:rPr>
        <w:t>CONSULTATIONS</w:t>
      </w:r>
    </w:p>
    <w:p w14:paraId="2BA226A1" w14:textId="77777777" w:rsidR="00CF69AA" w:rsidRPr="007210BE" w:rsidRDefault="00CF69AA" w:rsidP="00CF69AA">
      <w:pPr>
        <w:jc w:val="both"/>
        <w:rPr>
          <w:b/>
        </w:rPr>
      </w:pPr>
    </w:p>
    <w:p w14:paraId="1313E2D9" w14:textId="77777777" w:rsidR="000657F8" w:rsidRPr="007210BE" w:rsidRDefault="00423952" w:rsidP="000657F8">
      <w:pPr>
        <w:jc w:val="both"/>
      </w:pPr>
      <w:r w:rsidRPr="007210BE">
        <w:t>7.1</w:t>
      </w:r>
      <w:r w:rsidR="00CF69AA" w:rsidRPr="007210BE">
        <w:tab/>
        <w:t xml:space="preserve">The Chief </w:t>
      </w:r>
      <w:r w:rsidR="000657F8" w:rsidRPr="007210BE">
        <w:t xml:space="preserve">(Finance) </w:t>
      </w:r>
      <w:r w:rsidR="00CF69AA" w:rsidRPr="007210BE">
        <w:t>Officer and the Clerk were consulted in the preparation of this report.</w:t>
      </w:r>
    </w:p>
    <w:p w14:paraId="17AD93B2" w14:textId="77777777" w:rsidR="000657F8" w:rsidRPr="007210BE" w:rsidRDefault="000657F8" w:rsidP="000657F8">
      <w:pPr>
        <w:jc w:val="both"/>
      </w:pPr>
    </w:p>
    <w:p w14:paraId="0DE4B5B7" w14:textId="77777777" w:rsidR="000657F8" w:rsidRPr="007210BE" w:rsidRDefault="000657F8" w:rsidP="00CF69AA">
      <w:pPr>
        <w:ind w:left="720"/>
        <w:jc w:val="both"/>
      </w:pPr>
    </w:p>
    <w:p w14:paraId="369D03B2" w14:textId="77777777" w:rsidR="006820B4" w:rsidRPr="007210BE" w:rsidRDefault="006820B4" w:rsidP="006820B4">
      <w:pPr>
        <w:rPr>
          <w:b/>
        </w:rPr>
      </w:pPr>
      <w:r w:rsidRPr="007210BE">
        <w:rPr>
          <w:b/>
        </w:rPr>
        <w:t>8.0</w:t>
      </w:r>
      <w:r w:rsidRPr="007210BE">
        <w:rPr>
          <w:b/>
        </w:rPr>
        <w:tab/>
        <w:t>DIRECTIONS</w:t>
      </w:r>
    </w:p>
    <w:p w14:paraId="66204FF1" w14:textId="77777777" w:rsidR="006820B4" w:rsidRPr="007210BE" w:rsidRDefault="006820B4" w:rsidP="006820B4">
      <w:pPr>
        <w:rPr>
          <w:b/>
        </w:rPr>
      </w:pPr>
    </w:p>
    <w:p w14:paraId="6CA7B99F" w14:textId="77777777" w:rsidR="006820B4" w:rsidRPr="007210BE" w:rsidRDefault="006820B4" w:rsidP="006820B4">
      <w:pPr>
        <w:jc w:val="both"/>
      </w:pPr>
      <w:r w:rsidRPr="007210BE">
        <w:t>The Integration Joint Board requires a mechanism to action its strategic commissioning plans and this is provided for in sections 26 to 28 of the Public Bodies (Joint Working)</w:t>
      </w:r>
      <w:r w:rsidR="00FD125F">
        <w:t xml:space="preserve"> </w:t>
      </w:r>
      <w:r w:rsidRPr="007210BE">
        <w:t>(Scotland) Act 2014.  This mechanism takes the form of binding directions from the Integration Joint Board to one or both of Dundee City Council and NHS Tayside.</w:t>
      </w:r>
    </w:p>
    <w:p w14:paraId="2DBF0D7D" w14:textId="77777777" w:rsidR="006820B4" w:rsidRPr="007210BE" w:rsidRDefault="006820B4" w:rsidP="006820B4"/>
    <w:tbl>
      <w:tblPr>
        <w:tblStyle w:val="TableGrid"/>
        <w:tblW w:w="0" w:type="auto"/>
        <w:tblLook w:val="0480" w:firstRow="0" w:lastRow="0" w:firstColumn="1" w:lastColumn="0" w:noHBand="0" w:noVBand="1"/>
      </w:tblPr>
      <w:tblGrid>
        <w:gridCol w:w="3005"/>
        <w:gridCol w:w="4645"/>
        <w:gridCol w:w="1366"/>
      </w:tblGrid>
      <w:tr w:rsidR="007210BE" w:rsidRPr="007210BE" w14:paraId="0EE58167" w14:textId="77777777" w:rsidTr="00540D4F">
        <w:trPr>
          <w:trHeight w:val="1172"/>
        </w:trPr>
        <w:tc>
          <w:tcPr>
            <w:tcW w:w="3005" w:type="dxa"/>
          </w:tcPr>
          <w:p w14:paraId="1468000B" w14:textId="77777777" w:rsidR="006820B4" w:rsidRPr="007210BE" w:rsidRDefault="006820B4" w:rsidP="00540D4F">
            <w:r w:rsidRPr="007210BE">
              <w:t>Direction Required to Dundee City Council, NHS Tayside or Both</w:t>
            </w:r>
          </w:p>
        </w:tc>
        <w:tc>
          <w:tcPr>
            <w:tcW w:w="4645" w:type="dxa"/>
          </w:tcPr>
          <w:p w14:paraId="48B95050" w14:textId="77777777" w:rsidR="006820B4" w:rsidRPr="007210BE" w:rsidRDefault="006820B4" w:rsidP="00540D4F">
            <w:r w:rsidRPr="007210BE">
              <w:t>Direction to:</w:t>
            </w:r>
          </w:p>
        </w:tc>
        <w:tc>
          <w:tcPr>
            <w:tcW w:w="1366" w:type="dxa"/>
          </w:tcPr>
          <w:p w14:paraId="6B62F1B3" w14:textId="77777777" w:rsidR="006820B4" w:rsidRPr="007210BE" w:rsidRDefault="006820B4" w:rsidP="00540D4F"/>
        </w:tc>
      </w:tr>
      <w:tr w:rsidR="007210BE" w:rsidRPr="007210BE" w14:paraId="0AFE4E2B" w14:textId="77777777" w:rsidTr="00540D4F">
        <w:trPr>
          <w:trHeight w:val="410"/>
        </w:trPr>
        <w:tc>
          <w:tcPr>
            <w:tcW w:w="3005" w:type="dxa"/>
          </w:tcPr>
          <w:p w14:paraId="02F2C34E" w14:textId="77777777" w:rsidR="006820B4" w:rsidRPr="007210BE" w:rsidRDefault="006820B4" w:rsidP="00540D4F"/>
        </w:tc>
        <w:tc>
          <w:tcPr>
            <w:tcW w:w="4645" w:type="dxa"/>
          </w:tcPr>
          <w:p w14:paraId="71B75AA3" w14:textId="77777777" w:rsidR="006820B4" w:rsidRPr="007210BE" w:rsidRDefault="006820B4" w:rsidP="006820B4">
            <w:pPr>
              <w:pStyle w:val="ListParagraph"/>
              <w:numPr>
                <w:ilvl w:val="0"/>
                <w:numId w:val="37"/>
              </w:numPr>
            </w:pPr>
            <w:r w:rsidRPr="007210BE">
              <w:t>No Direction Required</w:t>
            </w:r>
          </w:p>
        </w:tc>
        <w:tc>
          <w:tcPr>
            <w:tcW w:w="1366" w:type="dxa"/>
          </w:tcPr>
          <w:p w14:paraId="28C9ECA3" w14:textId="77777777" w:rsidR="006820B4" w:rsidRPr="007210BE" w:rsidRDefault="00855A63" w:rsidP="00540D4F">
            <w:r>
              <w:t>x</w:t>
            </w:r>
          </w:p>
        </w:tc>
      </w:tr>
      <w:tr w:rsidR="007210BE" w:rsidRPr="007210BE" w14:paraId="041CE9A1" w14:textId="77777777" w:rsidTr="00540D4F">
        <w:trPr>
          <w:trHeight w:val="415"/>
        </w:trPr>
        <w:tc>
          <w:tcPr>
            <w:tcW w:w="3005" w:type="dxa"/>
          </w:tcPr>
          <w:p w14:paraId="680A4E5D" w14:textId="77777777" w:rsidR="006820B4" w:rsidRPr="007210BE" w:rsidRDefault="006820B4" w:rsidP="00540D4F"/>
        </w:tc>
        <w:tc>
          <w:tcPr>
            <w:tcW w:w="4645" w:type="dxa"/>
          </w:tcPr>
          <w:p w14:paraId="244B4FB9" w14:textId="77777777" w:rsidR="006820B4" w:rsidRPr="007210BE" w:rsidRDefault="006820B4" w:rsidP="006820B4">
            <w:pPr>
              <w:pStyle w:val="ListParagraph"/>
              <w:numPr>
                <w:ilvl w:val="0"/>
                <w:numId w:val="37"/>
              </w:numPr>
            </w:pPr>
            <w:r w:rsidRPr="007210BE">
              <w:t>Dundee City Council</w:t>
            </w:r>
          </w:p>
        </w:tc>
        <w:tc>
          <w:tcPr>
            <w:tcW w:w="1366" w:type="dxa"/>
          </w:tcPr>
          <w:p w14:paraId="19219836" w14:textId="77777777" w:rsidR="006820B4" w:rsidRPr="007210BE" w:rsidRDefault="006820B4" w:rsidP="00540D4F"/>
        </w:tc>
      </w:tr>
      <w:tr w:rsidR="007210BE" w:rsidRPr="007210BE" w14:paraId="7B834DCF" w14:textId="77777777" w:rsidTr="00540D4F">
        <w:trPr>
          <w:trHeight w:val="279"/>
        </w:trPr>
        <w:tc>
          <w:tcPr>
            <w:tcW w:w="3005" w:type="dxa"/>
          </w:tcPr>
          <w:p w14:paraId="296FEF7D" w14:textId="77777777" w:rsidR="006820B4" w:rsidRPr="007210BE" w:rsidRDefault="006820B4" w:rsidP="00540D4F"/>
        </w:tc>
        <w:tc>
          <w:tcPr>
            <w:tcW w:w="4645" w:type="dxa"/>
          </w:tcPr>
          <w:p w14:paraId="6BAF1B3A" w14:textId="77777777" w:rsidR="006820B4" w:rsidRPr="007210BE" w:rsidRDefault="006820B4" w:rsidP="006820B4">
            <w:pPr>
              <w:pStyle w:val="ListParagraph"/>
              <w:numPr>
                <w:ilvl w:val="0"/>
                <w:numId w:val="37"/>
              </w:numPr>
            </w:pPr>
            <w:r w:rsidRPr="007210BE">
              <w:t>NHS Tayside</w:t>
            </w:r>
          </w:p>
          <w:p w14:paraId="7194DBDC" w14:textId="77777777" w:rsidR="006820B4" w:rsidRPr="007210BE" w:rsidRDefault="006820B4" w:rsidP="00540D4F">
            <w:pPr>
              <w:pStyle w:val="ListParagraph"/>
            </w:pPr>
          </w:p>
        </w:tc>
        <w:tc>
          <w:tcPr>
            <w:tcW w:w="1366" w:type="dxa"/>
          </w:tcPr>
          <w:p w14:paraId="769D0D3C" w14:textId="77777777" w:rsidR="006820B4" w:rsidRPr="007210BE" w:rsidRDefault="006820B4" w:rsidP="00540D4F"/>
        </w:tc>
      </w:tr>
      <w:tr w:rsidR="006820B4" w:rsidRPr="007210BE" w14:paraId="4A306256" w14:textId="77777777" w:rsidTr="00540D4F">
        <w:trPr>
          <w:trHeight w:val="343"/>
        </w:trPr>
        <w:tc>
          <w:tcPr>
            <w:tcW w:w="3005" w:type="dxa"/>
          </w:tcPr>
          <w:p w14:paraId="54CD245A" w14:textId="77777777" w:rsidR="006820B4" w:rsidRPr="007210BE" w:rsidRDefault="006820B4" w:rsidP="00540D4F"/>
        </w:tc>
        <w:tc>
          <w:tcPr>
            <w:tcW w:w="4645" w:type="dxa"/>
          </w:tcPr>
          <w:p w14:paraId="5B495AE9" w14:textId="77777777" w:rsidR="006820B4" w:rsidRPr="007210BE" w:rsidRDefault="006820B4" w:rsidP="006820B4">
            <w:pPr>
              <w:pStyle w:val="ListParagraph"/>
              <w:numPr>
                <w:ilvl w:val="0"/>
                <w:numId w:val="37"/>
              </w:numPr>
            </w:pPr>
            <w:r w:rsidRPr="007210BE">
              <w:t>Dundee City Council and NHS Tayside</w:t>
            </w:r>
          </w:p>
        </w:tc>
        <w:tc>
          <w:tcPr>
            <w:tcW w:w="1366" w:type="dxa"/>
          </w:tcPr>
          <w:p w14:paraId="1231BE67" w14:textId="77777777" w:rsidR="006820B4" w:rsidRPr="007210BE" w:rsidRDefault="006820B4" w:rsidP="00540D4F"/>
        </w:tc>
      </w:tr>
    </w:tbl>
    <w:p w14:paraId="36FEB5B0" w14:textId="77777777" w:rsidR="006820B4" w:rsidRPr="007210BE" w:rsidRDefault="006820B4" w:rsidP="00CA50AA">
      <w:pPr>
        <w:jc w:val="both"/>
        <w:rPr>
          <w:b/>
          <w:bCs/>
        </w:rPr>
      </w:pPr>
    </w:p>
    <w:p w14:paraId="71272BF9" w14:textId="108DAE63" w:rsidR="61F799B9" w:rsidRDefault="61F799B9" w:rsidP="61F799B9">
      <w:pPr>
        <w:jc w:val="both"/>
        <w:rPr>
          <w:b/>
          <w:bCs/>
        </w:rPr>
      </w:pPr>
    </w:p>
    <w:p w14:paraId="12CAE27B" w14:textId="77777777" w:rsidR="00B75833" w:rsidRPr="007210BE" w:rsidRDefault="006820B4" w:rsidP="00CA50AA">
      <w:pPr>
        <w:jc w:val="both"/>
        <w:rPr>
          <w:b/>
          <w:bCs/>
        </w:rPr>
      </w:pPr>
      <w:r w:rsidRPr="007210BE">
        <w:rPr>
          <w:b/>
          <w:bCs/>
        </w:rPr>
        <w:t>9</w:t>
      </w:r>
      <w:r w:rsidR="00B75833" w:rsidRPr="007210BE">
        <w:rPr>
          <w:b/>
          <w:bCs/>
        </w:rPr>
        <w:t>.0</w:t>
      </w:r>
      <w:r w:rsidR="00B75833" w:rsidRPr="007210BE">
        <w:rPr>
          <w:b/>
          <w:bCs/>
        </w:rPr>
        <w:tab/>
        <w:t>BACKGROUND PAPERS</w:t>
      </w:r>
    </w:p>
    <w:p w14:paraId="30D7AA69" w14:textId="77777777" w:rsidR="00B75833" w:rsidRPr="007210BE" w:rsidRDefault="00B75833" w:rsidP="00CA50AA">
      <w:pPr>
        <w:jc w:val="both"/>
        <w:rPr>
          <w:bCs/>
        </w:rPr>
      </w:pPr>
    </w:p>
    <w:p w14:paraId="21981696" w14:textId="77777777" w:rsidR="00B75833" w:rsidRPr="007210BE" w:rsidRDefault="00423952" w:rsidP="00CA50AA">
      <w:pPr>
        <w:jc w:val="both"/>
        <w:rPr>
          <w:bCs/>
        </w:rPr>
      </w:pPr>
      <w:r w:rsidRPr="007210BE">
        <w:rPr>
          <w:bCs/>
        </w:rPr>
        <w:t>9.1</w:t>
      </w:r>
      <w:r w:rsidRPr="007210BE">
        <w:rPr>
          <w:bCs/>
        </w:rPr>
        <w:tab/>
        <w:t>Non</w:t>
      </w:r>
      <w:r w:rsidR="0042097F" w:rsidRPr="007210BE">
        <w:rPr>
          <w:bCs/>
        </w:rPr>
        <w:t>e</w:t>
      </w:r>
      <w:r w:rsidR="005429D1" w:rsidRPr="007210BE">
        <w:rPr>
          <w:bCs/>
        </w:rPr>
        <w:tab/>
      </w:r>
    </w:p>
    <w:p w14:paraId="7196D064" w14:textId="77777777" w:rsidR="00B75833" w:rsidRPr="007210BE" w:rsidRDefault="00B75833" w:rsidP="00CA50AA">
      <w:pPr>
        <w:jc w:val="both"/>
        <w:rPr>
          <w:bCs/>
        </w:rPr>
      </w:pPr>
    </w:p>
    <w:p w14:paraId="34FF1C98" w14:textId="77777777" w:rsidR="00FD2930" w:rsidRPr="007210BE" w:rsidRDefault="00FD2930" w:rsidP="00CA50AA">
      <w:pPr>
        <w:jc w:val="both"/>
        <w:rPr>
          <w:bCs/>
        </w:rPr>
      </w:pPr>
    </w:p>
    <w:p w14:paraId="6D072C0D" w14:textId="77777777" w:rsidR="00E1548C" w:rsidRPr="007210BE" w:rsidRDefault="00E1548C" w:rsidP="00CA50AA">
      <w:pPr>
        <w:jc w:val="both"/>
        <w:rPr>
          <w:bCs/>
        </w:rPr>
      </w:pPr>
    </w:p>
    <w:p w14:paraId="48A21919" w14:textId="77777777" w:rsidR="00423952" w:rsidRPr="007210BE" w:rsidRDefault="00423952" w:rsidP="00CA50AA">
      <w:pPr>
        <w:jc w:val="both"/>
        <w:rPr>
          <w:bCs/>
        </w:rPr>
      </w:pPr>
    </w:p>
    <w:p w14:paraId="6BD18F9B" w14:textId="77777777" w:rsidR="00423952" w:rsidRPr="007210BE" w:rsidRDefault="00423952" w:rsidP="00CA50AA">
      <w:pPr>
        <w:jc w:val="both"/>
        <w:rPr>
          <w:bCs/>
        </w:rPr>
      </w:pPr>
    </w:p>
    <w:tbl>
      <w:tblPr>
        <w:tblW w:w="0" w:type="auto"/>
        <w:tblLayout w:type="fixed"/>
        <w:tblLook w:val="0000" w:firstRow="0" w:lastRow="0" w:firstColumn="0" w:lastColumn="0" w:noHBand="0" w:noVBand="0"/>
      </w:tblPr>
      <w:tblGrid>
        <w:gridCol w:w="6633"/>
        <w:gridCol w:w="2654"/>
      </w:tblGrid>
      <w:tr w:rsidR="00945F5F" w:rsidRPr="007210BE" w14:paraId="2DD78D3B" w14:textId="77777777">
        <w:trPr>
          <w:cantSplit/>
        </w:trPr>
        <w:tc>
          <w:tcPr>
            <w:tcW w:w="6633" w:type="dxa"/>
          </w:tcPr>
          <w:p w14:paraId="096CF8BA" w14:textId="77777777" w:rsidR="00372D4C" w:rsidRPr="007210BE" w:rsidRDefault="00423952" w:rsidP="00843F08">
            <w:pPr>
              <w:pStyle w:val="Header"/>
              <w:jc w:val="both"/>
              <w:rPr>
                <w:bCs/>
              </w:rPr>
            </w:pPr>
            <w:r w:rsidRPr="007210BE">
              <w:rPr>
                <w:bCs/>
              </w:rPr>
              <w:t>Vicky Irons</w:t>
            </w:r>
          </w:p>
          <w:p w14:paraId="10D33F78" w14:textId="77777777" w:rsidR="00423952" w:rsidRPr="007210BE" w:rsidRDefault="00423952" w:rsidP="00843F08">
            <w:pPr>
              <w:pStyle w:val="Header"/>
              <w:jc w:val="both"/>
              <w:rPr>
                <w:bCs/>
              </w:rPr>
            </w:pPr>
            <w:r w:rsidRPr="007210BE">
              <w:rPr>
                <w:bCs/>
              </w:rPr>
              <w:t>Chief Officer</w:t>
            </w:r>
          </w:p>
        </w:tc>
        <w:tc>
          <w:tcPr>
            <w:tcW w:w="2654" w:type="dxa"/>
          </w:tcPr>
          <w:p w14:paraId="2B4ADFB4" w14:textId="77777777" w:rsidR="00945F5F" w:rsidRPr="007210BE" w:rsidRDefault="00945F5F" w:rsidP="00843F08">
            <w:pPr>
              <w:jc w:val="both"/>
              <w:rPr>
                <w:bCs/>
              </w:rPr>
            </w:pPr>
            <w:r w:rsidRPr="007210BE">
              <w:rPr>
                <w:bCs/>
              </w:rPr>
              <w:t xml:space="preserve">DATE:  </w:t>
            </w:r>
            <w:r w:rsidR="00423952" w:rsidRPr="007210BE">
              <w:rPr>
                <w:bCs/>
              </w:rPr>
              <w:t xml:space="preserve"> 2022</w:t>
            </w:r>
          </w:p>
        </w:tc>
      </w:tr>
    </w:tbl>
    <w:p w14:paraId="238601FE" w14:textId="77777777" w:rsidR="00B75833" w:rsidRPr="007210BE" w:rsidRDefault="00B75833" w:rsidP="00FD2930"/>
    <w:p w14:paraId="0F3CABC7" w14:textId="77777777" w:rsidR="006820B4" w:rsidRPr="007210BE" w:rsidRDefault="006820B4" w:rsidP="00FD2930"/>
    <w:p w14:paraId="5B08B5D1" w14:textId="77777777" w:rsidR="006820B4" w:rsidRPr="007210BE" w:rsidRDefault="006820B4" w:rsidP="00FD2930"/>
    <w:p w14:paraId="16DEB4AB" w14:textId="77777777" w:rsidR="006820B4" w:rsidRPr="007210BE" w:rsidRDefault="006820B4" w:rsidP="00FD2930"/>
    <w:p w14:paraId="0AD9C6F4" w14:textId="77777777" w:rsidR="006820B4" w:rsidRPr="007210BE" w:rsidRDefault="006820B4" w:rsidP="00FD2930">
      <w:pPr>
        <w:sectPr w:rsidR="006820B4" w:rsidRPr="007210BE" w:rsidSect="000657F8">
          <w:headerReference w:type="even" r:id="rId12"/>
          <w:headerReference w:type="default" r:id="rId13"/>
          <w:footerReference w:type="default" r:id="rId14"/>
          <w:headerReference w:type="first" r:id="rId15"/>
          <w:pgSz w:w="11907" w:h="16840" w:code="9"/>
          <w:pgMar w:top="720" w:right="1418" w:bottom="720" w:left="1418" w:header="720" w:footer="340" w:gutter="0"/>
          <w:paperSrc w:first="259" w:other="259"/>
          <w:pgNumType w:start="1"/>
          <w:cols w:space="720"/>
          <w:titlePg/>
          <w:docGrid w:linePitch="272"/>
        </w:sectPr>
      </w:pPr>
    </w:p>
    <w:p w14:paraId="4B1F511A" w14:textId="77777777" w:rsidR="006820B4" w:rsidRPr="007210BE" w:rsidRDefault="006820B4" w:rsidP="00A7595E"/>
    <w:sectPr w:rsidR="006820B4" w:rsidRPr="007210BE" w:rsidSect="006E1F2A">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40" w:right="1440" w:bottom="1440" w:left="1440"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1409" w14:textId="77777777" w:rsidR="00E8276C" w:rsidRDefault="00E8276C">
      <w:r>
        <w:separator/>
      </w:r>
    </w:p>
  </w:endnote>
  <w:endnote w:type="continuationSeparator" w:id="0">
    <w:p w14:paraId="562C75D1" w14:textId="77777777" w:rsidR="00E8276C" w:rsidRDefault="00E8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39944"/>
      <w:docPartObj>
        <w:docPartGallery w:val="Page Numbers (Bottom of Page)"/>
        <w:docPartUnique/>
      </w:docPartObj>
    </w:sdtPr>
    <w:sdtEndPr>
      <w:rPr>
        <w:noProof/>
      </w:rPr>
    </w:sdtEndPr>
    <w:sdtContent>
      <w:p w14:paraId="50230CC7" w14:textId="77777777" w:rsidR="000657F8" w:rsidRDefault="000657F8">
        <w:pPr>
          <w:pStyle w:val="Footer"/>
          <w:jc w:val="right"/>
        </w:pPr>
        <w:r>
          <w:fldChar w:fldCharType="begin"/>
        </w:r>
        <w:r>
          <w:instrText xml:space="preserve"> PAGE   \* MERGEFORMAT </w:instrText>
        </w:r>
        <w:r>
          <w:fldChar w:fldCharType="separate"/>
        </w:r>
        <w:r w:rsidR="0052135C">
          <w:rPr>
            <w:noProof/>
          </w:rPr>
          <w:t>3</w:t>
        </w:r>
        <w:r>
          <w:rPr>
            <w:noProof/>
          </w:rPr>
          <w:fldChar w:fldCharType="end"/>
        </w:r>
      </w:p>
    </w:sdtContent>
  </w:sdt>
  <w:p w14:paraId="42C6D796" w14:textId="77777777" w:rsidR="0067619E" w:rsidRDefault="0067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1B3" w14:textId="77777777" w:rsidR="00C7031E" w:rsidRDefault="00B54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542E" w14:textId="77777777" w:rsidR="00C7031E" w:rsidRDefault="00B54C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141B" w14:textId="77777777" w:rsidR="00DE17AE" w:rsidRPr="00C7031E" w:rsidRDefault="00B54C77" w:rsidP="00880ACC">
    <w:pPr>
      <w:pStyle w:val="Footer"/>
      <w:jc w:val="both"/>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E394" w14:textId="77777777" w:rsidR="00E8276C" w:rsidRDefault="00E8276C">
      <w:r>
        <w:separator/>
      </w:r>
    </w:p>
  </w:footnote>
  <w:footnote w:type="continuationSeparator" w:id="0">
    <w:p w14:paraId="722B00AE" w14:textId="77777777" w:rsidR="00E8276C" w:rsidRDefault="00E8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90830" w:rsidRDefault="00E90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FF3">
      <w:rPr>
        <w:rStyle w:val="PageNumber"/>
        <w:noProof/>
      </w:rPr>
      <w:t>1</w:t>
    </w:r>
    <w:r>
      <w:rPr>
        <w:rStyle w:val="PageNumber"/>
      </w:rPr>
      <w:fldChar w:fldCharType="end"/>
    </w:r>
  </w:p>
  <w:p w14:paraId="31126E5D" w14:textId="77777777" w:rsidR="00E90830" w:rsidRDefault="00E90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D2A" w14:textId="77777777" w:rsidR="00E90830" w:rsidRDefault="00E90830">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55AD" w14:textId="77777777" w:rsidR="00E90830" w:rsidRDefault="00E90830">
    <w:pPr>
      <w:pStyle w:val="Header"/>
      <w:tabs>
        <w:tab w:val="clear" w:pos="4153"/>
        <w:tab w:val="clear" w:pos="8306"/>
      </w:tabs>
    </w:pPr>
  </w:p>
  <w:p w14:paraId="1A965116" w14:textId="77777777" w:rsidR="00E90830" w:rsidRDefault="00E90830">
    <w:pPr>
      <w:pStyle w:val="Header"/>
      <w:tabs>
        <w:tab w:val="clear" w:pos="4153"/>
        <w:tab w:val="clear" w:pos="8306"/>
      </w:tabs>
    </w:pPr>
  </w:p>
  <w:p w14:paraId="7DF4E37C" w14:textId="77777777" w:rsidR="00E90830" w:rsidRDefault="00E90830">
    <w:pPr>
      <w:pStyle w:val="Header"/>
      <w:tabs>
        <w:tab w:val="clear" w:pos="4153"/>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C7031E" w:rsidRDefault="00B54C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03A5" w14:textId="77777777" w:rsidR="00C7031E" w:rsidRDefault="00B54C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DE17AE" w:rsidRPr="00880ACC" w:rsidRDefault="00B54C77" w:rsidP="00880ACC">
    <w:pPr>
      <w:pStyle w:val="Header"/>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2F2"/>
    <w:multiLevelType w:val="hybridMultilevel"/>
    <w:tmpl w:val="FE827BD8"/>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06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D61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440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C54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16CA4"/>
    <w:multiLevelType w:val="hybridMultilevel"/>
    <w:tmpl w:val="42344FB6"/>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07400"/>
    <w:multiLevelType w:val="hybridMultilevel"/>
    <w:tmpl w:val="91EA267A"/>
    <w:lvl w:ilvl="0" w:tplc="18E2EA5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16802"/>
    <w:multiLevelType w:val="multilevel"/>
    <w:tmpl w:val="BA82B9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B042F0"/>
    <w:multiLevelType w:val="multilevel"/>
    <w:tmpl w:val="650AB1C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F304C6A"/>
    <w:multiLevelType w:val="hybridMultilevel"/>
    <w:tmpl w:val="B602FAE6"/>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D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117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567E01"/>
    <w:multiLevelType w:val="hybridMultilevel"/>
    <w:tmpl w:val="990E421C"/>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76642"/>
    <w:multiLevelType w:val="hybridMultilevel"/>
    <w:tmpl w:val="5DA646AA"/>
    <w:lvl w:ilvl="0" w:tplc="BAA62094">
      <w:start w:val="1"/>
      <w:numFmt w:val="decimal"/>
      <w:lvlText w:val="%1."/>
      <w:lvlJc w:val="left"/>
      <w:pPr>
        <w:tabs>
          <w:tab w:val="num" w:pos="360"/>
        </w:tabs>
        <w:ind w:left="360" w:hanging="360"/>
      </w:pPr>
      <w:rPr>
        <w:rFonts w:hint="default"/>
      </w:rPr>
    </w:lvl>
    <w:lvl w:ilvl="1" w:tplc="DA56A28C">
      <w:start w:val="1"/>
      <w:numFmt w:val="bullet"/>
      <w:lvlText w:val=""/>
      <w:lvlJc w:val="left"/>
      <w:pPr>
        <w:tabs>
          <w:tab w:val="num" w:pos="1080"/>
        </w:tabs>
        <w:ind w:left="1080" w:hanging="360"/>
      </w:pPr>
      <w:rPr>
        <w:rFonts w:ascii="Symbol" w:hAnsi="Symbol" w:hint="default"/>
        <w:color w:val="auto"/>
        <w:sz w:val="16"/>
        <w:szCs w:val="16"/>
        <w:u w:color="FFFFFF"/>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2327F53"/>
    <w:multiLevelType w:val="hybridMultilevel"/>
    <w:tmpl w:val="C69CD980"/>
    <w:lvl w:ilvl="0" w:tplc="8F80CD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C83D02"/>
    <w:multiLevelType w:val="hybridMultilevel"/>
    <w:tmpl w:val="4B68534A"/>
    <w:lvl w:ilvl="0" w:tplc="70D281EC">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46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B60600"/>
    <w:multiLevelType w:val="multilevel"/>
    <w:tmpl w:val="35EAB95E"/>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F0557"/>
    <w:multiLevelType w:val="hybridMultilevel"/>
    <w:tmpl w:val="35EAB95E"/>
    <w:lvl w:ilvl="0" w:tplc="F21CD2B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3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F96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6B38BE"/>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38F42002"/>
    <w:multiLevelType w:val="hybridMultilevel"/>
    <w:tmpl w:val="32E4C0D8"/>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FA4872"/>
    <w:multiLevelType w:val="hybridMultilevel"/>
    <w:tmpl w:val="FACA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728EE"/>
    <w:multiLevelType w:val="multilevel"/>
    <w:tmpl w:val="D8165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6020A7"/>
    <w:multiLevelType w:val="hybridMultilevel"/>
    <w:tmpl w:val="A6A0F882"/>
    <w:lvl w:ilvl="0" w:tplc="8F80CD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134D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1419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DA1150"/>
    <w:multiLevelType w:val="hybridMultilevel"/>
    <w:tmpl w:val="1F844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F016E"/>
    <w:multiLevelType w:val="hybridMultilevel"/>
    <w:tmpl w:val="1EB0C742"/>
    <w:lvl w:ilvl="0" w:tplc="8F80CD2A">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F5E0B"/>
    <w:multiLevelType w:val="hybridMultilevel"/>
    <w:tmpl w:val="3CECBEB6"/>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54768"/>
    <w:multiLevelType w:val="multilevel"/>
    <w:tmpl w:val="8926060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2CA2E4A"/>
    <w:multiLevelType w:val="hybridMultilevel"/>
    <w:tmpl w:val="3056D482"/>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C7E3B"/>
    <w:multiLevelType w:val="hybridMultilevel"/>
    <w:tmpl w:val="B75A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30C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9B349A"/>
    <w:multiLevelType w:val="hybridMultilevel"/>
    <w:tmpl w:val="49A6C34E"/>
    <w:lvl w:ilvl="0" w:tplc="938CCC5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963A2"/>
    <w:multiLevelType w:val="hybridMultilevel"/>
    <w:tmpl w:val="031C9D8E"/>
    <w:lvl w:ilvl="0" w:tplc="F2D21C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D61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640E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21"/>
    <w:lvlOverride w:ilvl="0">
      <w:startOverride w:val="1"/>
    </w:lvlOverride>
  </w:num>
  <w:num w:numId="4">
    <w:abstractNumId w:val="38"/>
  </w:num>
  <w:num w:numId="5">
    <w:abstractNumId w:val="10"/>
  </w:num>
  <w:num w:numId="6">
    <w:abstractNumId w:val="4"/>
  </w:num>
  <w:num w:numId="7">
    <w:abstractNumId w:val="26"/>
  </w:num>
  <w:num w:numId="8">
    <w:abstractNumId w:val="27"/>
  </w:num>
  <w:num w:numId="9">
    <w:abstractNumId w:val="19"/>
  </w:num>
  <w:num w:numId="10">
    <w:abstractNumId w:val="20"/>
  </w:num>
  <w:num w:numId="11">
    <w:abstractNumId w:val="16"/>
  </w:num>
  <w:num w:numId="12">
    <w:abstractNumId w:val="34"/>
  </w:num>
  <w:num w:numId="13">
    <w:abstractNumId w:val="1"/>
  </w:num>
  <w:num w:numId="14">
    <w:abstractNumId w:val="36"/>
  </w:num>
  <w:num w:numId="15">
    <w:abstractNumId w:val="37"/>
  </w:num>
  <w:num w:numId="16">
    <w:abstractNumId w:val="2"/>
  </w:num>
  <w:num w:numId="17">
    <w:abstractNumId w:val="11"/>
  </w:num>
  <w:num w:numId="18">
    <w:abstractNumId w:val="3"/>
  </w:num>
  <w:num w:numId="19">
    <w:abstractNumId w:val="9"/>
  </w:num>
  <w:num w:numId="20">
    <w:abstractNumId w:val="0"/>
  </w:num>
  <w:num w:numId="21">
    <w:abstractNumId w:val="22"/>
  </w:num>
  <w:num w:numId="22">
    <w:abstractNumId w:val="32"/>
  </w:num>
  <w:num w:numId="23">
    <w:abstractNumId w:val="12"/>
  </w:num>
  <w:num w:numId="24">
    <w:abstractNumId w:val="30"/>
  </w:num>
  <w:num w:numId="25">
    <w:abstractNumId w:val="35"/>
  </w:num>
  <w:num w:numId="26">
    <w:abstractNumId w:val="5"/>
  </w:num>
  <w:num w:numId="27">
    <w:abstractNumId w:val="28"/>
  </w:num>
  <w:num w:numId="28">
    <w:abstractNumId w:val="25"/>
  </w:num>
  <w:num w:numId="29">
    <w:abstractNumId w:val="14"/>
  </w:num>
  <w:num w:numId="30">
    <w:abstractNumId w:val="18"/>
  </w:num>
  <w:num w:numId="31">
    <w:abstractNumId w:val="17"/>
  </w:num>
  <w:num w:numId="32">
    <w:abstractNumId w:val="29"/>
  </w:num>
  <w:num w:numId="33">
    <w:abstractNumId w:val="31"/>
  </w:num>
  <w:num w:numId="34">
    <w:abstractNumId w:val="15"/>
  </w:num>
  <w:num w:numId="35">
    <w:abstractNumId w:val="23"/>
  </w:num>
  <w:num w:numId="36">
    <w:abstractNumId w:val="6"/>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6C"/>
    <w:rsid w:val="00010919"/>
    <w:rsid w:val="000272BC"/>
    <w:rsid w:val="00041978"/>
    <w:rsid w:val="000469EF"/>
    <w:rsid w:val="0004732E"/>
    <w:rsid w:val="00053227"/>
    <w:rsid w:val="00063EE9"/>
    <w:rsid w:val="000657F8"/>
    <w:rsid w:val="00073148"/>
    <w:rsid w:val="00075544"/>
    <w:rsid w:val="000821EA"/>
    <w:rsid w:val="000824BA"/>
    <w:rsid w:val="0008536B"/>
    <w:rsid w:val="00091673"/>
    <w:rsid w:val="000A502D"/>
    <w:rsid w:val="000D3D4B"/>
    <w:rsid w:val="000D4B50"/>
    <w:rsid w:val="000E2059"/>
    <w:rsid w:val="000F5D95"/>
    <w:rsid w:val="00125CEB"/>
    <w:rsid w:val="001459E0"/>
    <w:rsid w:val="0018088F"/>
    <w:rsid w:val="001D2F68"/>
    <w:rsid w:val="001E0928"/>
    <w:rsid w:val="001F1B98"/>
    <w:rsid w:val="002048B6"/>
    <w:rsid w:val="00212C86"/>
    <w:rsid w:val="00232942"/>
    <w:rsid w:val="00243EAE"/>
    <w:rsid w:val="002508A4"/>
    <w:rsid w:val="00260A19"/>
    <w:rsid w:val="002729D0"/>
    <w:rsid w:val="002A549F"/>
    <w:rsid w:val="002A6D7C"/>
    <w:rsid w:val="002C69D2"/>
    <w:rsid w:val="002C6FA7"/>
    <w:rsid w:val="00311DB2"/>
    <w:rsid w:val="00334C17"/>
    <w:rsid w:val="003374F4"/>
    <w:rsid w:val="0034309D"/>
    <w:rsid w:val="00343326"/>
    <w:rsid w:val="00351E4E"/>
    <w:rsid w:val="003560C0"/>
    <w:rsid w:val="00356438"/>
    <w:rsid w:val="003614D3"/>
    <w:rsid w:val="00372D4C"/>
    <w:rsid w:val="00374B3C"/>
    <w:rsid w:val="00380ED8"/>
    <w:rsid w:val="003968C1"/>
    <w:rsid w:val="003B7576"/>
    <w:rsid w:val="003C23D8"/>
    <w:rsid w:val="003D0B15"/>
    <w:rsid w:val="003D7AD8"/>
    <w:rsid w:val="003E5133"/>
    <w:rsid w:val="003F0CF7"/>
    <w:rsid w:val="003F3AEF"/>
    <w:rsid w:val="00404511"/>
    <w:rsid w:val="0042097F"/>
    <w:rsid w:val="00423952"/>
    <w:rsid w:val="00436DF8"/>
    <w:rsid w:val="00440585"/>
    <w:rsid w:val="00461D97"/>
    <w:rsid w:val="00464790"/>
    <w:rsid w:val="00485B89"/>
    <w:rsid w:val="00487897"/>
    <w:rsid w:val="004B3BD1"/>
    <w:rsid w:val="004B4019"/>
    <w:rsid w:val="004F3AD5"/>
    <w:rsid w:val="0051312C"/>
    <w:rsid w:val="0052135C"/>
    <w:rsid w:val="005276FC"/>
    <w:rsid w:val="00534C5E"/>
    <w:rsid w:val="005429D1"/>
    <w:rsid w:val="00547296"/>
    <w:rsid w:val="005511E0"/>
    <w:rsid w:val="00580923"/>
    <w:rsid w:val="00584511"/>
    <w:rsid w:val="005934AE"/>
    <w:rsid w:val="005B2317"/>
    <w:rsid w:val="005B676A"/>
    <w:rsid w:val="005C3D83"/>
    <w:rsid w:val="005D3B0E"/>
    <w:rsid w:val="005E29EE"/>
    <w:rsid w:val="005E6E89"/>
    <w:rsid w:val="0061203F"/>
    <w:rsid w:val="00622D48"/>
    <w:rsid w:val="006261F6"/>
    <w:rsid w:val="00660EF7"/>
    <w:rsid w:val="0066720A"/>
    <w:rsid w:val="0067619E"/>
    <w:rsid w:val="006820B4"/>
    <w:rsid w:val="00690A71"/>
    <w:rsid w:val="006A2DF4"/>
    <w:rsid w:val="006A6E8D"/>
    <w:rsid w:val="006E20CB"/>
    <w:rsid w:val="006E6CCD"/>
    <w:rsid w:val="00706EEC"/>
    <w:rsid w:val="007071E9"/>
    <w:rsid w:val="00713360"/>
    <w:rsid w:val="007210BE"/>
    <w:rsid w:val="007304AC"/>
    <w:rsid w:val="0076D616"/>
    <w:rsid w:val="00781381"/>
    <w:rsid w:val="00796623"/>
    <w:rsid w:val="00797288"/>
    <w:rsid w:val="007B0220"/>
    <w:rsid w:val="007F30E1"/>
    <w:rsid w:val="0081387B"/>
    <w:rsid w:val="00821FBB"/>
    <w:rsid w:val="00826E49"/>
    <w:rsid w:val="008333D7"/>
    <w:rsid w:val="00835BBE"/>
    <w:rsid w:val="00843C24"/>
    <w:rsid w:val="00843F08"/>
    <w:rsid w:val="00851D04"/>
    <w:rsid w:val="00854931"/>
    <w:rsid w:val="00855A63"/>
    <w:rsid w:val="008833A9"/>
    <w:rsid w:val="008B35D2"/>
    <w:rsid w:val="008B47D7"/>
    <w:rsid w:val="008B6087"/>
    <w:rsid w:val="008C4C43"/>
    <w:rsid w:val="008D3E30"/>
    <w:rsid w:val="008E3371"/>
    <w:rsid w:val="008F5644"/>
    <w:rsid w:val="00912D92"/>
    <w:rsid w:val="00915FED"/>
    <w:rsid w:val="00933682"/>
    <w:rsid w:val="009445ED"/>
    <w:rsid w:val="00945F5F"/>
    <w:rsid w:val="00952BE3"/>
    <w:rsid w:val="00957F53"/>
    <w:rsid w:val="00965F30"/>
    <w:rsid w:val="009736BF"/>
    <w:rsid w:val="009C2A79"/>
    <w:rsid w:val="009C546E"/>
    <w:rsid w:val="009C66D4"/>
    <w:rsid w:val="009D32A1"/>
    <w:rsid w:val="009F2BAF"/>
    <w:rsid w:val="00A00B56"/>
    <w:rsid w:val="00A01908"/>
    <w:rsid w:val="00A02FD9"/>
    <w:rsid w:val="00A05B41"/>
    <w:rsid w:val="00A22335"/>
    <w:rsid w:val="00A2280D"/>
    <w:rsid w:val="00A370D9"/>
    <w:rsid w:val="00A65DE1"/>
    <w:rsid w:val="00A7595E"/>
    <w:rsid w:val="00AA6FEB"/>
    <w:rsid w:val="00AB081F"/>
    <w:rsid w:val="00AB7F5C"/>
    <w:rsid w:val="00AE318F"/>
    <w:rsid w:val="00AE3D9D"/>
    <w:rsid w:val="00AE511F"/>
    <w:rsid w:val="00AE7237"/>
    <w:rsid w:val="00B41B12"/>
    <w:rsid w:val="00B51804"/>
    <w:rsid w:val="00B54C77"/>
    <w:rsid w:val="00B75833"/>
    <w:rsid w:val="00B907D0"/>
    <w:rsid w:val="00B92FC8"/>
    <w:rsid w:val="00BD567F"/>
    <w:rsid w:val="00BE3778"/>
    <w:rsid w:val="00C0001B"/>
    <w:rsid w:val="00C24436"/>
    <w:rsid w:val="00C25FFB"/>
    <w:rsid w:val="00C30BA0"/>
    <w:rsid w:val="00C40671"/>
    <w:rsid w:val="00C445EA"/>
    <w:rsid w:val="00C91627"/>
    <w:rsid w:val="00C93A41"/>
    <w:rsid w:val="00CA50AA"/>
    <w:rsid w:val="00CC0BF4"/>
    <w:rsid w:val="00CD28EA"/>
    <w:rsid w:val="00CE6A22"/>
    <w:rsid w:val="00CF012E"/>
    <w:rsid w:val="00CF69AA"/>
    <w:rsid w:val="00D10D8F"/>
    <w:rsid w:val="00D22C53"/>
    <w:rsid w:val="00D47066"/>
    <w:rsid w:val="00D65E6D"/>
    <w:rsid w:val="00D73AB1"/>
    <w:rsid w:val="00D92A13"/>
    <w:rsid w:val="00DC0224"/>
    <w:rsid w:val="00DC1EF6"/>
    <w:rsid w:val="00DE15D3"/>
    <w:rsid w:val="00DF3422"/>
    <w:rsid w:val="00E0061D"/>
    <w:rsid w:val="00E1548C"/>
    <w:rsid w:val="00E1586C"/>
    <w:rsid w:val="00E23E87"/>
    <w:rsid w:val="00E419AC"/>
    <w:rsid w:val="00E42FFE"/>
    <w:rsid w:val="00E700DE"/>
    <w:rsid w:val="00E8276C"/>
    <w:rsid w:val="00E829C3"/>
    <w:rsid w:val="00E90830"/>
    <w:rsid w:val="00E93CBE"/>
    <w:rsid w:val="00EC7B42"/>
    <w:rsid w:val="00ED1CD6"/>
    <w:rsid w:val="00EE54F9"/>
    <w:rsid w:val="00EF6492"/>
    <w:rsid w:val="00F00985"/>
    <w:rsid w:val="00F214EF"/>
    <w:rsid w:val="00F2301E"/>
    <w:rsid w:val="00F255F6"/>
    <w:rsid w:val="00F31C30"/>
    <w:rsid w:val="00F515CC"/>
    <w:rsid w:val="00F56436"/>
    <w:rsid w:val="00F717A8"/>
    <w:rsid w:val="00F739BB"/>
    <w:rsid w:val="00F778F6"/>
    <w:rsid w:val="00F84FF3"/>
    <w:rsid w:val="00F87180"/>
    <w:rsid w:val="00FB3714"/>
    <w:rsid w:val="00FB5ED2"/>
    <w:rsid w:val="00FB78A9"/>
    <w:rsid w:val="00FC15C2"/>
    <w:rsid w:val="00FD125F"/>
    <w:rsid w:val="00FD2930"/>
    <w:rsid w:val="00FF2AA9"/>
    <w:rsid w:val="187FE082"/>
    <w:rsid w:val="1A1BB0E3"/>
    <w:rsid w:val="1B9E58E7"/>
    <w:rsid w:val="24B6561C"/>
    <w:rsid w:val="2E441005"/>
    <w:rsid w:val="58F9C1FB"/>
    <w:rsid w:val="5EBFF8F7"/>
    <w:rsid w:val="61F799B9"/>
    <w:rsid w:val="65BF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1668F"/>
  <w15:docId w15:val="{B8F2CA01-6EBF-4D1B-A3F8-2F197A71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tabs>
        <w:tab w:val="left" w:pos="2126"/>
      </w:tabs>
      <w:jc w:val="both"/>
      <w:outlineLvl w:val="0"/>
    </w:pPr>
    <w:rPr>
      <w:b/>
    </w:rPr>
  </w:style>
  <w:style w:type="paragraph" w:styleId="Heading2">
    <w:name w:val="heading 2"/>
    <w:basedOn w:val="Normal"/>
    <w:next w:val="Normal"/>
    <w:qFormat/>
    <w:rsid w:val="00073148"/>
    <w:pPr>
      <w:keepNext/>
      <w:spacing w:before="240" w:after="60"/>
      <w:outlineLvl w:val="1"/>
    </w:pPr>
    <w:rPr>
      <w:rFonts w:cs="Arial"/>
      <w:b/>
      <w:bCs/>
      <w:i/>
      <w:iCs/>
      <w:sz w:val="28"/>
      <w:szCs w:val="28"/>
    </w:rPr>
  </w:style>
  <w:style w:type="paragraph" w:styleId="Heading4">
    <w:name w:val="heading 4"/>
    <w:basedOn w:val="Normal"/>
    <w:next w:val="Normal"/>
    <w:qFormat/>
    <w:rsid w:val="00B75833"/>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75833"/>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rsid w:val="002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5833"/>
    <w:pPr>
      <w:ind w:left="720"/>
    </w:pPr>
  </w:style>
  <w:style w:type="paragraph" w:styleId="BodyText">
    <w:name w:val="Body Text"/>
    <w:basedOn w:val="Normal"/>
    <w:link w:val="BodyTextChar"/>
    <w:rsid w:val="00B75833"/>
    <w:pPr>
      <w:spacing w:after="120"/>
    </w:pPr>
  </w:style>
  <w:style w:type="paragraph" w:styleId="BalloonText">
    <w:name w:val="Balloon Text"/>
    <w:basedOn w:val="Normal"/>
    <w:semiHidden/>
    <w:rsid w:val="00485B89"/>
    <w:rPr>
      <w:rFonts w:ascii="Tahoma" w:hAnsi="Tahoma" w:cs="Tahoma"/>
      <w:sz w:val="16"/>
      <w:szCs w:val="16"/>
    </w:rPr>
  </w:style>
  <w:style w:type="character" w:customStyle="1" w:styleId="BodyTextIndentChar">
    <w:name w:val="Body Text Indent Char"/>
    <w:link w:val="BodyTextIndent"/>
    <w:rsid w:val="00945F5F"/>
    <w:rPr>
      <w:rFonts w:ascii="Arial" w:hAnsi="Arial"/>
      <w:lang w:val="en-GB" w:eastAsia="en-US" w:bidi="ar-SA"/>
    </w:rPr>
  </w:style>
  <w:style w:type="character" w:customStyle="1" w:styleId="BodyTextChar">
    <w:name w:val="Body Text Char"/>
    <w:link w:val="BodyText"/>
    <w:rsid w:val="00945F5F"/>
    <w:rPr>
      <w:rFonts w:ascii="Arial" w:hAnsi="Arial"/>
      <w:lang w:val="en-GB" w:eastAsia="en-US" w:bidi="ar-SA"/>
    </w:rPr>
  </w:style>
  <w:style w:type="character" w:styleId="Hyperlink">
    <w:name w:val="Hyperlink"/>
    <w:rsid w:val="00073148"/>
    <w:rPr>
      <w:color w:val="0000FF"/>
      <w:u w:val="single"/>
    </w:rPr>
  </w:style>
  <w:style w:type="character" w:styleId="FollowedHyperlink">
    <w:name w:val="FollowedHyperlink"/>
    <w:rsid w:val="00AB7F5C"/>
    <w:rPr>
      <w:color w:val="800080"/>
      <w:u w:val="single"/>
    </w:rPr>
  </w:style>
  <w:style w:type="character" w:customStyle="1" w:styleId="FooterChar">
    <w:name w:val="Footer Char"/>
    <w:basedOn w:val="DefaultParagraphFont"/>
    <w:link w:val="Footer"/>
    <w:uiPriority w:val="99"/>
    <w:rsid w:val="0067619E"/>
    <w:rPr>
      <w:rFonts w:ascii="Arial" w:hAnsi="Arial"/>
      <w:lang w:eastAsia="en-US"/>
    </w:rPr>
  </w:style>
  <w:style w:type="paragraph" w:styleId="ListParagraph">
    <w:name w:val="List Paragraph"/>
    <w:basedOn w:val="Normal"/>
    <w:uiPriority w:val="34"/>
    <w:qFormat/>
    <w:rsid w:val="00D47066"/>
    <w:pPr>
      <w:ind w:left="720"/>
      <w:contextualSpacing/>
    </w:pPr>
  </w:style>
  <w:style w:type="table" w:customStyle="1" w:styleId="TableGrid1">
    <w:name w:val="Table Grid1"/>
    <w:basedOn w:val="TableNormal"/>
    <w:next w:val="TableGrid"/>
    <w:uiPriority w:val="59"/>
    <w:rsid w:val="00682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67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6645">
      <w:bodyDiv w:val="1"/>
      <w:marLeft w:val="0"/>
      <w:marRight w:val="0"/>
      <w:marTop w:val="0"/>
      <w:marBottom w:val="0"/>
      <w:divBdr>
        <w:top w:val="none" w:sz="0" w:space="0" w:color="auto"/>
        <w:left w:val="none" w:sz="0" w:space="0" w:color="auto"/>
        <w:bottom w:val="none" w:sz="0" w:space="0" w:color="auto"/>
        <w:right w:val="none" w:sz="0" w:space="0" w:color="auto"/>
      </w:divBdr>
    </w:div>
    <w:div w:id="410615579">
      <w:bodyDiv w:val="1"/>
      <w:marLeft w:val="0"/>
      <w:marRight w:val="0"/>
      <w:marTop w:val="0"/>
      <w:marBottom w:val="0"/>
      <w:divBdr>
        <w:top w:val="none" w:sz="0" w:space="0" w:color="auto"/>
        <w:left w:val="none" w:sz="0" w:space="0" w:color="auto"/>
        <w:bottom w:val="none" w:sz="0" w:space="0" w:color="auto"/>
        <w:right w:val="none" w:sz="0" w:space="0" w:color="auto"/>
      </w:divBdr>
    </w:div>
    <w:div w:id="441804676">
      <w:bodyDiv w:val="1"/>
      <w:marLeft w:val="0"/>
      <w:marRight w:val="0"/>
      <w:marTop w:val="0"/>
      <w:marBottom w:val="0"/>
      <w:divBdr>
        <w:top w:val="none" w:sz="0" w:space="0" w:color="auto"/>
        <w:left w:val="none" w:sz="0" w:space="0" w:color="auto"/>
        <w:bottom w:val="none" w:sz="0" w:space="0" w:color="auto"/>
        <w:right w:val="none" w:sz="0" w:space="0" w:color="auto"/>
      </w:divBdr>
    </w:div>
    <w:div w:id="922569414">
      <w:bodyDiv w:val="1"/>
      <w:marLeft w:val="0"/>
      <w:marRight w:val="0"/>
      <w:marTop w:val="0"/>
      <w:marBottom w:val="0"/>
      <w:divBdr>
        <w:top w:val="none" w:sz="0" w:space="0" w:color="auto"/>
        <w:left w:val="none" w:sz="0" w:space="0" w:color="auto"/>
        <w:bottom w:val="none" w:sz="0" w:space="0" w:color="auto"/>
        <w:right w:val="none" w:sz="0" w:space="0" w:color="auto"/>
      </w:divBdr>
    </w:div>
    <w:div w:id="1631013963">
      <w:bodyDiv w:val="1"/>
      <w:marLeft w:val="0"/>
      <w:marRight w:val="0"/>
      <w:marTop w:val="0"/>
      <w:marBottom w:val="0"/>
      <w:divBdr>
        <w:top w:val="none" w:sz="0" w:space="0" w:color="auto"/>
        <w:left w:val="none" w:sz="0" w:space="0" w:color="auto"/>
        <w:bottom w:val="none" w:sz="0" w:space="0" w:color="auto"/>
        <w:right w:val="none" w:sz="0" w:space="0" w:color="auto"/>
      </w:divBdr>
    </w:div>
    <w:div w:id="1976909092">
      <w:bodyDiv w:val="1"/>
      <w:marLeft w:val="0"/>
      <w:marRight w:val="0"/>
      <w:marTop w:val="0"/>
      <w:marBottom w:val="0"/>
      <w:divBdr>
        <w:top w:val="none" w:sz="0" w:space="0" w:color="auto"/>
        <w:left w:val="none" w:sz="0" w:space="0" w:color="auto"/>
        <w:bottom w:val="none" w:sz="0" w:space="0" w:color="auto"/>
        <w:right w:val="none" w:sz="0" w:space="0" w:color="auto"/>
      </w:divBdr>
    </w:div>
    <w:div w:id="21419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ne.hay\AppData\Local\Microsoft\Windows\Temporary%20Internet%20Files\Content.IE5\LO5UEJC1\hscrepor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E75E54CE45D4C98A63D54532AFCE7" ma:contentTypeVersion="4" ma:contentTypeDescription="Create a new document." ma:contentTypeScope="" ma:versionID="bee5be6d8919b344592a3be61b2e0df3">
  <xsd:schema xmlns:xsd="http://www.w3.org/2001/XMLSchema" xmlns:xs="http://www.w3.org/2001/XMLSchema" xmlns:p="http://schemas.microsoft.com/office/2006/metadata/properties" xmlns:ns2="f6f7d2ac-6dcc-4e03-8312-09fce1d71b85" targetNamespace="http://schemas.microsoft.com/office/2006/metadata/properties" ma:root="true" ma:fieldsID="8625824c8ef087a481b97f0d9aa35c48" ns2:_="">
    <xsd:import namespace="f6f7d2ac-6dcc-4e03-8312-09fce1d71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d2ac-6dcc-4e03-8312-09fce1d71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195D-48E3-481A-904E-AC47A7DC2332}">
  <ds:schemaRefs>
    <ds:schemaRef ds:uri="http://schemas.microsoft.com/sharepoint/v3/contenttype/forms"/>
  </ds:schemaRefs>
</ds:datastoreItem>
</file>

<file path=customXml/itemProps2.xml><?xml version="1.0" encoding="utf-8"?>
<ds:datastoreItem xmlns:ds="http://schemas.openxmlformats.org/officeDocument/2006/customXml" ds:itemID="{25CC482D-E8EF-487A-B6C4-2504EC7A9C76}">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f6f7d2ac-6dcc-4e03-8312-09fce1d71b85"/>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A206984-3792-40A4-8A67-566052441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d2ac-6dcc-4e03-8312-09fce1d7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46720-C9B0-412A-A5CB-E8AC972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hscreport[1]</Template>
  <TotalTime>1</TotalTime>
  <Pages>5</Pages>
  <Words>1622</Words>
  <Characters>9015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Style settings for minute</vt:lpstr>
    </vt:vector>
  </TitlesOfParts>
  <Company>Dundee City Council</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settings for minute</dc:title>
  <dc:creator>arlene hay</dc:creator>
  <cp:lastModifiedBy>Claire Johnstone</cp:lastModifiedBy>
  <cp:revision>2</cp:revision>
  <cp:lastPrinted>2022-03-29T15:13:00Z</cp:lastPrinted>
  <dcterms:created xsi:type="dcterms:W3CDTF">2022-08-19T08:30:00Z</dcterms:created>
  <dcterms:modified xsi:type="dcterms:W3CDTF">2022-08-19T08:30:00Z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0x0101007D5E75E54CE45D4C98A63D54532AFCE7</vt:lpwstr>
  </property>
</Properties>
</file>